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124E9" w:rsidRPr="008124E9" w:rsidRDefault="008124E9" w:rsidP="008124E9">
      <w:pPr>
        <w:jc w:val="center"/>
        <w:rPr>
          <w:rFonts w:ascii="Bookman Old Style" w:eastAsia="Times New Roman" w:hAnsi="Bookman Old Style" w:cs="Times New Roman"/>
          <w:color w:val="000000"/>
          <w:sz w:val="24"/>
          <w:szCs w:val="24"/>
          <w:lang w:eastAsia="es-CO"/>
        </w:rPr>
      </w:pPr>
      <w:r w:rsidRPr="008124E9">
        <w:rPr>
          <w:rFonts w:ascii="Bookman Old Style" w:eastAsia="Times New Roman" w:hAnsi="Bookman Old Style" w:cs="Times New Roman"/>
          <w:noProof/>
          <w:color w:val="000000"/>
          <w:sz w:val="24"/>
          <w:szCs w:val="24"/>
          <w:lang w:eastAsia="es-CO"/>
        </w:rPr>
        <w:drawing>
          <wp:inline distT="0" distB="0" distL="0" distR="0">
            <wp:extent cx="1390650" cy="1314450"/>
            <wp:effectExtent l="0" t="0" r="0" b="0"/>
            <wp:docPr id="1" name="Imagen 1" descr="http://190.217.24.13:8080/WebRelatoria/img/top_csj.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190.217.24.13:8080/WebRelatoria/img/top_csj.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390650" cy="1314450"/>
                    </a:xfrm>
                    <a:prstGeom prst="rect">
                      <a:avLst/>
                    </a:prstGeom>
                    <a:noFill/>
                    <a:ln>
                      <a:noFill/>
                    </a:ln>
                  </pic:spPr>
                </pic:pic>
              </a:graphicData>
            </a:graphic>
          </wp:inline>
        </w:drawing>
      </w:r>
    </w:p>
    <w:p w:rsidR="008124E9" w:rsidRPr="008124E9" w:rsidRDefault="008124E9" w:rsidP="008124E9">
      <w:pPr>
        <w:rPr>
          <w:rFonts w:ascii="Bookman Old Style" w:eastAsia="Times New Roman" w:hAnsi="Bookman Old Style" w:cs="Times New Roman"/>
          <w:color w:val="000000"/>
          <w:sz w:val="24"/>
          <w:szCs w:val="24"/>
          <w:lang w:eastAsia="es-CO"/>
        </w:rPr>
      </w:pPr>
    </w:p>
    <w:p w:rsidR="008124E9" w:rsidRPr="008124E9" w:rsidRDefault="008124E9" w:rsidP="008124E9">
      <w:pPr>
        <w:rPr>
          <w:rFonts w:ascii="Bookman Old Style" w:eastAsia="Times New Roman" w:hAnsi="Bookman Old Style" w:cs="Times New Roman"/>
          <w:sz w:val="24"/>
          <w:szCs w:val="24"/>
          <w:lang w:eastAsia="es-CO"/>
        </w:rPr>
      </w:pPr>
    </w:p>
    <w:p w:rsidR="008124E9" w:rsidRPr="008124E9" w:rsidRDefault="008124E9" w:rsidP="008124E9">
      <w:pPr>
        <w:jc w:val="center"/>
        <w:rPr>
          <w:rFonts w:ascii="Bookman Old Style" w:eastAsia="Times New Roman" w:hAnsi="Bookman Old Style" w:cs="Times New Roman"/>
          <w:color w:val="000000"/>
          <w:sz w:val="24"/>
          <w:szCs w:val="24"/>
          <w:lang w:eastAsia="es-CO"/>
        </w:rPr>
      </w:pPr>
      <w:r w:rsidRPr="008124E9">
        <w:rPr>
          <w:rFonts w:ascii="Bookman Old Style" w:eastAsia="Times New Roman" w:hAnsi="Bookman Old Style" w:cs="Times New Roman"/>
          <w:b/>
          <w:bCs/>
          <w:color w:val="000000"/>
          <w:sz w:val="24"/>
          <w:szCs w:val="24"/>
          <w:lang w:eastAsia="es-CO"/>
        </w:rPr>
        <w:t>TUTELA</w:t>
      </w:r>
    </w:p>
    <w:p w:rsidR="008124E9" w:rsidRPr="008124E9" w:rsidRDefault="008124E9" w:rsidP="008124E9">
      <w:pPr>
        <w:rPr>
          <w:rFonts w:ascii="Bookman Old Style" w:eastAsia="Times New Roman" w:hAnsi="Bookman Old Style" w:cs="Times New Roman"/>
          <w:color w:val="000000"/>
          <w:sz w:val="24"/>
          <w:szCs w:val="24"/>
          <w:lang w:eastAsia="es-CO"/>
        </w:rPr>
      </w:pPr>
    </w:p>
    <w:p w:rsidR="008124E9" w:rsidRPr="008124E9" w:rsidRDefault="008124E9" w:rsidP="008124E9">
      <w:pPr>
        <w:rPr>
          <w:rFonts w:ascii="Bookman Old Style" w:eastAsia="Times New Roman" w:hAnsi="Bookman Old Style" w:cs="Times New Roman"/>
          <w:sz w:val="24"/>
          <w:szCs w:val="24"/>
          <w:lang w:eastAsia="es-CO"/>
        </w:rPr>
      </w:pPr>
    </w:p>
    <w:p w:rsidR="008124E9" w:rsidRPr="008124E9" w:rsidRDefault="008124E9" w:rsidP="008124E9">
      <w:pPr>
        <w:jc w:val="center"/>
        <w:rPr>
          <w:rFonts w:ascii="Bookman Old Style" w:eastAsia="Times New Roman" w:hAnsi="Bookman Old Style" w:cs="Times New Roman"/>
          <w:color w:val="000000"/>
          <w:sz w:val="24"/>
          <w:szCs w:val="24"/>
          <w:lang w:eastAsia="es-CO"/>
        </w:rPr>
      </w:pPr>
      <w:r w:rsidRPr="008124E9">
        <w:rPr>
          <w:rFonts w:ascii="Bookman Old Style" w:eastAsia="Times New Roman" w:hAnsi="Bookman Old Style" w:cs="Times New Roman"/>
          <w:b/>
          <w:bCs/>
          <w:color w:val="000000"/>
          <w:sz w:val="24"/>
          <w:szCs w:val="24"/>
          <w:lang w:eastAsia="es-CO"/>
        </w:rPr>
        <w:t>REPORTE DE CONSULTA</w:t>
      </w:r>
    </w:p>
    <w:p w:rsidR="008124E9" w:rsidRPr="008124E9" w:rsidRDefault="008124E9" w:rsidP="008124E9">
      <w:pPr>
        <w:rPr>
          <w:rFonts w:ascii="Bookman Old Style" w:eastAsia="Times New Roman" w:hAnsi="Bookman Old Style" w:cs="Times New Roman"/>
          <w:sz w:val="24"/>
          <w:szCs w:val="24"/>
          <w:lang w:eastAsia="es-CO"/>
        </w:rPr>
      </w:pPr>
    </w:p>
    <w:tbl>
      <w:tblPr>
        <w:tblW w:w="5000"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8824"/>
      </w:tblGrid>
      <w:tr w:rsidR="008124E9" w:rsidRPr="008124E9" w:rsidTr="008124E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8124E9" w:rsidRPr="008124E9" w:rsidRDefault="008124E9" w:rsidP="008124E9">
            <w:pPr>
              <w:shd w:val="clear" w:color="auto" w:fill="BBFFAA"/>
              <w:jc w:val="center"/>
              <w:divId w:val="39474139"/>
              <w:rPr>
                <w:rFonts w:ascii="Bookman Old Style" w:eastAsia="Times New Roman" w:hAnsi="Bookman Old Style" w:cs="Times New Roman"/>
                <w:sz w:val="24"/>
                <w:szCs w:val="24"/>
                <w:lang w:eastAsia="es-CO"/>
              </w:rPr>
            </w:pPr>
            <w:r w:rsidRPr="008124E9">
              <w:rPr>
                <w:rFonts w:ascii="Bookman Old Style" w:eastAsia="Times New Roman" w:hAnsi="Bookman Old Style" w:cs="Times New Roman"/>
                <w:b/>
                <w:bCs/>
                <w:sz w:val="24"/>
                <w:szCs w:val="24"/>
                <w:lang w:eastAsia="es-CO"/>
              </w:rPr>
              <w:t>RELEVANTE</w:t>
            </w:r>
          </w:p>
          <w:p w:rsidR="008124E9" w:rsidRPr="008124E9" w:rsidRDefault="008124E9" w:rsidP="008124E9">
            <w:pPr>
              <w:rPr>
                <w:rFonts w:ascii="Bookman Old Style" w:eastAsia="Times New Roman" w:hAnsi="Bookman Old Style" w:cs="Times New Roman"/>
                <w:sz w:val="24"/>
                <w:szCs w:val="24"/>
                <w:lang w:eastAsia="es-CO"/>
              </w:rPr>
            </w:pPr>
          </w:p>
          <w:p w:rsidR="008124E9" w:rsidRPr="008124E9" w:rsidRDefault="008124E9" w:rsidP="008124E9">
            <w:pPr>
              <w:rPr>
                <w:rFonts w:ascii="Bookman Old Style" w:eastAsia="Times New Roman" w:hAnsi="Bookman Old Style" w:cs="Times New Roman"/>
                <w:sz w:val="24"/>
                <w:szCs w:val="24"/>
                <w:lang w:eastAsia="es-CO"/>
              </w:rPr>
            </w:pPr>
            <w:r w:rsidRPr="008124E9">
              <w:rPr>
                <w:rFonts w:ascii="Bookman Old Style" w:eastAsia="Times New Roman" w:hAnsi="Bookman Old Style" w:cs="Times New Roman"/>
                <w:b/>
                <w:bCs/>
                <w:sz w:val="24"/>
                <w:szCs w:val="24"/>
                <w:lang w:eastAsia="es-CO"/>
              </w:rPr>
              <w:t>SALA DE CASACIÓN PENAL - SALA DE DECISIÓN DE TUTELAS</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795"/>
              <w:gridCol w:w="137"/>
              <w:gridCol w:w="4772"/>
            </w:tblGrid>
            <w:tr w:rsidR="008124E9" w:rsidRPr="008124E9">
              <w:trPr>
                <w:tblCellSpacing w:w="15" w:type="dxa"/>
              </w:trPr>
              <w:tc>
                <w:tcPr>
                  <w:tcW w:w="3750" w:type="dxa"/>
                  <w:hideMark/>
                </w:tcPr>
                <w:p w:rsidR="008124E9" w:rsidRPr="008124E9" w:rsidRDefault="008124E9" w:rsidP="008124E9">
                  <w:pPr>
                    <w:rPr>
                      <w:rFonts w:ascii="Bookman Old Style" w:eastAsia="Times New Roman" w:hAnsi="Bookman Old Style" w:cs="Times New Roman"/>
                      <w:sz w:val="24"/>
                      <w:szCs w:val="24"/>
                      <w:lang w:eastAsia="es-CO"/>
                    </w:rPr>
                  </w:pPr>
                  <w:r w:rsidRPr="008124E9">
                    <w:rPr>
                      <w:rFonts w:ascii="Bookman Old Style" w:eastAsia="Times New Roman" w:hAnsi="Bookman Old Style" w:cs="Times New Roman"/>
                      <w:b/>
                      <w:bCs/>
                      <w:color w:val="7D3B05"/>
                      <w:sz w:val="24"/>
                      <w:szCs w:val="24"/>
                      <w:lang w:eastAsia="es-CO"/>
                    </w:rPr>
                    <w:t>ID</w:t>
                  </w:r>
                </w:p>
              </w:tc>
              <w:tc>
                <w:tcPr>
                  <w:tcW w:w="75" w:type="dxa"/>
                  <w:hideMark/>
                </w:tcPr>
                <w:p w:rsidR="008124E9" w:rsidRPr="008124E9" w:rsidRDefault="008124E9" w:rsidP="008124E9">
                  <w:pPr>
                    <w:rPr>
                      <w:rFonts w:ascii="Bookman Old Style" w:eastAsia="Times New Roman" w:hAnsi="Bookman Old Style" w:cs="Times New Roman"/>
                      <w:sz w:val="24"/>
                      <w:szCs w:val="24"/>
                      <w:lang w:eastAsia="es-CO"/>
                    </w:rPr>
                  </w:pPr>
                  <w:r w:rsidRPr="008124E9">
                    <w:rPr>
                      <w:rFonts w:ascii="Bookman Old Style" w:eastAsia="Times New Roman" w:hAnsi="Bookman Old Style" w:cs="Times New Roman"/>
                      <w:sz w:val="24"/>
                      <w:szCs w:val="24"/>
                      <w:lang w:eastAsia="es-CO"/>
                    </w:rPr>
                    <w:t>:</w:t>
                  </w:r>
                </w:p>
              </w:tc>
              <w:tc>
                <w:tcPr>
                  <w:tcW w:w="0" w:type="auto"/>
                  <w:vAlign w:val="center"/>
                  <w:hideMark/>
                </w:tcPr>
                <w:p w:rsidR="008124E9" w:rsidRPr="008124E9" w:rsidRDefault="008124E9" w:rsidP="008124E9">
                  <w:pPr>
                    <w:jc w:val="both"/>
                    <w:rPr>
                      <w:rFonts w:ascii="Bookman Old Style" w:eastAsia="Times New Roman" w:hAnsi="Bookman Old Style" w:cs="Times New Roman"/>
                      <w:sz w:val="24"/>
                      <w:szCs w:val="24"/>
                      <w:lang w:eastAsia="es-CO"/>
                    </w:rPr>
                  </w:pPr>
                  <w:r w:rsidRPr="008124E9">
                    <w:rPr>
                      <w:rFonts w:ascii="Bookman Old Style" w:eastAsia="Times New Roman" w:hAnsi="Bookman Old Style" w:cs="Times New Roman"/>
                      <w:sz w:val="24"/>
                      <w:szCs w:val="24"/>
                      <w:lang w:eastAsia="es-CO"/>
                    </w:rPr>
                    <w:t>870468</w:t>
                  </w:r>
                </w:p>
              </w:tc>
            </w:tr>
            <w:tr w:rsidR="008124E9" w:rsidRPr="008124E9">
              <w:trPr>
                <w:tblCellSpacing w:w="15" w:type="dxa"/>
              </w:trPr>
              <w:tc>
                <w:tcPr>
                  <w:tcW w:w="3750" w:type="dxa"/>
                  <w:hideMark/>
                </w:tcPr>
                <w:p w:rsidR="008124E9" w:rsidRPr="008124E9" w:rsidRDefault="008124E9" w:rsidP="008124E9">
                  <w:pPr>
                    <w:rPr>
                      <w:rFonts w:ascii="Bookman Old Style" w:eastAsia="Times New Roman" w:hAnsi="Bookman Old Style" w:cs="Times New Roman"/>
                      <w:sz w:val="24"/>
                      <w:szCs w:val="24"/>
                      <w:lang w:eastAsia="es-CO"/>
                    </w:rPr>
                  </w:pPr>
                  <w:r w:rsidRPr="008124E9">
                    <w:rPr>
                      <w:rFonts w:ascii="Bookman Old Style" w:eastAsia="Times New Roman" w:hAnsi="Bookman Old Style" w:cs="Times New Roman"/>
                      <w:b/>
                      <w:bCs/>
                      <w:color w:val="7D3B05"/>
                      <w:sz w:val="24"/>
                      <w:szCs w:val="24"/>
                      <w:lang w:eastAsia="es-CO"/>
                    </w:rPr>
                    <w:t>M. PONENTE</w:t>
                  </w:r>
                </w:p>
              </w:tc>
              <w:tc>
                <w:tcPr>
                  <w:tcW w:w="75" w:type="dxa"/>
                  <w:hideMark/>
                </w:tcPr>
                <w:p w:rsidR="008124E9" w:rsidRPr="008124E9" w:rsidRDefault="008124E9" w:rsidP="008124E9">
                  <w:pPr>
                    <w:rPr>
                      <w:rFonts w:ascii="Bookman Old Style" w:eastAsia="Times New Roman" w:hAnsi="Bookman Old Style" w:cs="Times New Roman"/>
                      <w:sz w:val="24"/>
                      <w:szCs w:val="24"/>
                      <w:lang w:eastAsia="es-CO"/>
                    </w:rPr>
                  </w:pPr>
                  <w:r w:rsidRPr="008124E9">
                    <w:rPr>
                      <w:rFonts w:ascii="Bookman Old Style" w:eastAsia="Times New Roman" w:hAnsi="Bookman Old Style" w:cs="Times New Roman"/>
                      <w:sz w:val="24"/>
                      <w:szCs w:val="24"/>
                      <w:lang w:eastAsia="es-CO"/>
                    </w:rPr>
                    <w:t>:</w:t>
                  </w:r>
                </w:p>
              </w:tc>
              <w:tc>
                <w:tcPr>
                  <w:tcW w:w="0" w:type="auto"/>
                  <w:vAlign w:val="center"/>
                  <w:hideMark/>
                </w:tcPr>
                <w:p w:rsidR="008124E9" w:rsidRPr="008124E9" w:rsidRDefault="008124E9" w:rsidP="008124E9">
                  <w:pPr>
                    <w:jc w:val="both"/>
                    <w:rPr>
                      <w:rFonts w:ascii="Bookman Old Style" w:eastAsia="Times New Roman" w:hAnsi="Bookman Old Style" w:cs="Times New Roman"/>
                      <w:sz w:val="24"/>
                      <w:szCs w:val="24"/>
                      <w:lang w:eastAsia="es-CO"/>
                    </w:rPr>
                  </w:pPr>
                  <w:r w:rsidRPr="008124E9">
                    <w:rPr>
                      <w:rFonts w:ascii="Bookman Old Style" w:eastAsia="Times New Roman" w:hAnsi="Bookman Old Style" w:cs="Times New Roman"/>
                      <w:sz w:val="24"/>
                      <w:szCs w:val="24"/>
                      <w:lang w:eastAsia="es-CO"/>
                    </w:rPr>
                    <w:t>RICARDO POSADA MAYA - CONJUEZ</w:t>
                  </w:r>
                </w:p>
              </w:tc>
            </w:tr>
            <w:tr w:rsidR="008124E9" w:rsidRPr="008124E9">
              <w:trPr>
                <w:tblCellSpacing w:w="15" w:type="dxa"/>
              </w:trPr>
              <w:tc>
                <w:tcPr>
                  <w:tcW w:w="3750" w:type="dxa"/>
                  <w:hideMark/>
                </w:tcPr>
                <w:p w:rsidR="008124E9" w:rsidRPr="008124E9" w:rsidRDefault="008124E9" w:rsidP="008124E9">
                  <w:pPr>
                    <w:rPr>
                      <w:rFonts w:ascii="Bookman Old Style" w:eastAsia="Times New Roman" w:hAnsi="Bookman Old Style" w:cs="Times New Roman"/>
                      <w:sz w:val="24"/>
                      <w:szCs w:val="24"/>
                      <w:lang w:eastAsia="es-CO"/>
                    </w:rPr>
                  </w:pPr>
                  <w:r w:rsidRPr="008124E9">
                    <w:rPr>
                      <w:rFonts w:ascii="Bookman Old Style" w:eastAsia="Times New Roman" w:hAnsi="Bookman Old Style" w:cs="Times New Roman"/>
                      <w:b/>
                      <w:bCs/>
                      <w:color w:val="7D3B05"/>
                      <w:sz w:val="24"/>
                      <w:szCs w:val="24"/>
                      <w:lang w:eastAsia="es-CO"/>
                    </w:rPr>
                    <w:t>NÚMERO DE PROCESO</w:t>
                  </w:r>
                </w:p>
              </w:tc>
              <w:tc>
                <w:tcPr>
                  <w:tcW w:w="75" w:type="dxa"/>
                  <w:hideMark/>
                </w:tcPr>
                <w:p w:rsidR="008124E9" w:rsidRPr="008124E9" w:rsidRDefault="008124E9" w:rsidP="008124E9">
                  <w:pPr>
                    <w:rPr>
                      <w:rFonts w:ascii="Bookman Old Style" w:eastAsia="Times New Roman" w:hAnsi="Bookman Old Style" w:cs="Times New Roman"/>
                      <w:sz w:val="24"/>
                      <w:szCs w:val="24"/>
                      <w:lang w:eastAsia="es-CO"/>
                    </w:rPr>
                  </w:pPr>
                  <w:r w:rsidRPr="008124E9">
                    <w:rPr>
                      <w:rFonts w:ascii="Bookman Old Style" w:eastAsia="Times New Roman" w:hAnsi="Bookman Old Style" w:cs="Times New Roman"/>
                      <w:sz w:val="24"/>
                      <w:szCs w:val="24"/>
                      <w:lang w:eastAsia="es-CO"/>
                    </w:rPr>
                    <w:t>:</w:t>
                  </w:r>
                </w:p>
              </w:tc>
              <w:tc>
                <w:tcPr>
                  <w:tcW w:w="0" w:type="auto"/>
                  <w:vAlign w:val="center"/>
                  <w:hideMark/>
                </w:tcPr>
                <w:p w:rsidR="008124E9" w:rsidRPr="008124E9" w:rsidRDefault="008124E9" w:rsidP="008124E9">
                  <w:pPr>
                    <w:jc w:val="both"/>
                    <w:rPr>
                      <w:rFonts w:ascii="Bookman Old Style" w:eastAsia="Times New Roman" w:hAnsi="Bookman Old Style" w:cs="Times New Roman"/>
                      <w:sz w:val="24"/>
                      <w:szCs w:val="24"/>
                      <w:lang w:eastAsia="es-CO"/>
                    </w:rPr>
                  </w:pPr>
                  <w:r w:rsidRPr="008124E9">
                    <w:rPr>
                      <w:rFonts w:ascii="Bookman Old Style" w:eastAsia="Times New Roman" w:hAnsi="Bookman Old Style" w:cs="Times New Roman"/>
                      <w:sz w:val="24"/>
                      <w:szCs w:val="24"/>
                      <w:lang w:eastAsia="es-CO"/>
                    </w:rPr>
                    <w:t>T 135640</w:t>
                  </w:r>
                </w:p>
              </w:tc>
            </w:tr>
            <w:tr w:rsidR="008124E9" w:rsidRPr="008124E9">
              <w:trPr>
                <w:tblCellSpacing w:w="15" w:type="dxa"/>
              </w:trPr>
              <w:tc>
                <w:tcPr>
                  <w:tcW w:w="3750" w:type="dxa"/>
                  <w:hideMark/>
                </w:tcPr>
                <w:p w:rsidR="008124E9" w:rsidRPr="008124E9" w:rsidRDefault="008124E9" w:rsidP="008124E9">
                  <w:pPr>
                    <w:rPr>
                      <w:rFonts w:ascii="Bookman Old Style" w:eastAsia="Times New Roman" w:hAnsi="Bookman Old Style" w:cs="Times New Roman"/>
                      <w:sz w:val="24"/>
                      <w:szCs w:val="24"/>
                      <w:lang w:eastAsia="es-CO"/>
                    </w:rPr>
                  </w:pPr>
                  <w:r w:rsidRPr="008124E9">
                    <w:rPr>
                      <w:rFonts w:ascii="Bookman Old Style" w:eastAsia="Times New Roman" w:hAnsi="Bookman Old Style" w:cs="Times New Roman"/>
                      <w:b/>
                      <w:bCs/>
                      <w:color w:val="7D3B05"/>
                      <w:sz w:val="24"/>
                      <w:szCs w:val="24"/>
                      <w:lang w:eastAsia="es-CO"/>
                    </w:rPr>
                    <w:t>NÚMERO DE PROVIDENCIA</w:t>
                  </w:r>
                </w:p>
              </w:tc>
              <w:tc>
                <w:tcPr>
                  <w:tcW w:w="75" w:type="dxa"/>
                  <w:hideMark/>
                </w:tcPr>
                <w:p w:rsidR="008124E9" w:rsidRPr="008124E9" w:rsidRDefault="008124E9" w:rsidP="008124E9">
                  <w:pPr>
                    <w:rPr>
                      <w:rFonts w:ascii="Bookman Old Style" w:eastAsia="Times New Roman" w:hAnsi="Bookman Old Style" w:cs="Times New Roman"/>
                      <w:sz w:val="24"/>
                      <w:szCs w:val="24"/>
                      <w:lang w:eastAsia="es-CO"/>
                    </w:rPr>
                  </w:pPr>
                  <w:r w:rsidRPr="008124E9">
                    <w:rPr>
                      <w:rFonts w:ascii="Bookman Old Style" w:eastAsia="Times New Roman" w:hAnsi="Bookman Old Style" w:cs="Times New Roman"/>
                      <w:sz w:val="24"/>
                      <w:szCs w:val="24"/>
                      <w:lang w:eastAsia="es-CO"/>
                    </w:rPr>
                    <w:t>:</w:t>
                  </w:r>
                </w:p>
              </w:tc>
              <w:tc>
                <w:tcPr>
                  <w:tcW w:w="0" w:type="auto"/>
                  <w:vAlign w:val="center"/>
                  <w:hideMark/>
                </w:tcPr>
                <w:p w:rsidR="008124E9" w:rsidRPr="008124E9" w:rsidRDefault="0036550D" w:rsidP="008124E9">
                  <w:pPr>
                    <w:jc w:val="both"/>
                    <w:rPr>
                      <w:rFonts w:ascii="Bookman Old Style" w:eastAsia="Times New Roman" w:hAnsi="Bookman Old Style" w:cs="Times New Roman"/>
                      <w:sz w:val="24"/>
                      <w:szCs w:val="24"/>
                      <w:lang w:eastAsia="es-CO"/>
                    </w:rPr>
                  </w:pPr>
                  <w:hyperlink r:id="rId5" w:history="1">
                    <w:r w:rsidR="008124E9" w:rsidRPr="0036550D">
                      <w:rPr>
                        <w:rStyle w:val="Hipervnculo"/>
                        <w:rFonts w:ascii="Bookman Old Style" w:eastAsia="Times New Roman" w:hAnsi="Bookman Old Style" w:cs="Times New Roman"/>
                        <w:sz w:val="24"/>
                        <w:szCs w:val="24"/>
                        <w:lang w:eastAsia="es-CO"/>
                      </w:rPr>
                      <w:t>STP2265-2024</w:t>
                    </w:r>
                  </w:hyperlink>
                  <w:bookmarkStart w:id="0" w:name="_GoBack"/>
                  <w:bookmarkEnd w:id="0"/>
                </w:p>
              </w:tc>
            </w:tr>
            <w:tr w:rsidR="008124E9" w:rsidRPr="008124E9">
              <w:trPr>
                <w:tblCellSpacing w:w="15" w:type="dxa"/>
              </w:trPr>
              <w:tc>
                <w:tcPr>
                  <w:tcW w:w="3750" w:type="dxa"/>
                  <w:hideMark/>
                </w:tcPr>
                <w:p w:rsidR="008124E9" w:rsidRPr="008124E9" w:rsidRDefault="008124E9" w:rsidP="008124E9">
                  <w:pPr>
                    <w:rPr>
                      <w:rFonts w:ascii="Bookman Old Style" w:eastAsia="Times New Roman" w:hAnsi="Bookman Old Style" w:cs="Times New Roman"/>
                      <w:sz w:val="24"/>
                      <w:szCs w:val="24"/>
                      <w:lang w:eastAsia="es-CO"/>
                    </w:rPr>
                  </w:pPr>
                  <w:r w:rsidRPr="008124E9">
                    <w:rPr>
                      <w:rFonts w:ascii="Bookman Old Style" w:eastAsia="Times New Roman" w:hAnsi="Bookman Old Style" w:cs="Times New Roman"/>
                      <w:b/>
                      <w:bCs/>
                      <w:color w:val="7D3B05"/>
                      <w:sz w:val="24"/>
                      <w:szCs w:val="24"/>
                      <w:lang w:eastAsia="es-CO"/>
                    </w:rPr>
                    <w:t>CLASE DE ACTUACIÓN</w:t>
                  </w:r>
                </w:p>
              </w:tc>
              <w:tc>
                <w:tcPr>
                  <w:tcW w:w="75" w:type="dxa"/>
                  <w:hideMark/>
                </w:tcPr>
                <w:p w:rsidR="008124E9" w:rsidRPr="008124E9" w:rsidRDefault="008124E9" w:rsidP="008124E9">
                  <w:pPr>
                    <w:rPr>
                      <w:rFonts w:ascii="Bookman Old Style" w:eastAsia="Times New Roman" w:hAnsi="Bookman Old Style" w:cs="Times New Roman"/>
                      <w:sz w:val="24"/>
                      <w:szCs w:val="24"/>
                      <w:lang w:eastAsia="es-CO"/>
                    </w:rPr>
                  </w:pPr>
                  <w:r w:rsidRPr="008124E9">
                    <w:rPr>
                      <w:rFonts w:ascii="Bookman Old Style" w:eastAsia="Times New Roman" w:hAnsi="Bookman Old Style" w:cs="Times New Roman"/>
                      <w:sz w:val="24"/>
                      <w:szCs w:val="24"/>
                      <w:lang w:eastAsia="es-CO"/>
                    </w:rPr>
                    <w:t>:</w:t>
                  </w:r>
                </w:p>
              </w:tc>
              <w:tc>
                <w:tcPr>
                  <w:tcW w:w="0" w:type="auto"/>
                  <w:vAlign w:val="center"/>
                  <w:hideMark/>
                </w:tcPr>
                <w:p w:rsidR="008124E9" w:rsidRPr="008124E9" w:rsidRDefault="008124E9" w:rsidP="008124E9">
                  <w:pPr>
                    <w:jc w:val="both"/>
                    <w:rPr>
                      <w:rFonts w:ascii="Bookman Old Style" w:eastAsia="Times New Roman" w:hAnsi="Bookman Old Style" w:cs="Times New Roman"/>
                      <w:sz w:val="24"/>
                      <w:szCs w:val="24"/>
                      <w:lang w:eastAsia="es-CO"/>
                    </w:rPr>
                  </w:pPr>
                  <w:r w:rsidRPr="008124E9">
                    <w:rPr>
                      <w:rFonts w:ascii="Bookman Old Style" w:eastAsia="Times New Roman" w:hAnsi="Bookman Old Style" w:cs="Times New Roman"/>
                      <w:sz w:val="24"/>
                      <w:szCs w:val="24"/>
                      <w:lang w:eastAsia="es-CO"/>
                    </w:rPr>
                    <w:t>ACCIÓN DE TUTELA - PRIMERA INSTANCIA</w:t>
                  </w:r>
                </w:p>
              </w:tc>
            </w:tr>
            <w:tr w:rsidR="008124E9" w:rsidRPr="008124E9">
              <w:trPr>
                <w:tblCellSpacing w:w="15" w:type="dxa"/>
              </w:trPr>
              <w:tc>
                <w:tcPr>
                  <w:tcW w:w="3750" w:type="dxa"/>
                  <w:hideMark/>
                </w:tcPr>
                <w:p w:rsidR="008124E9" w:rsidRPr="008124E9" w:rsidRDefault="008124E9" w:rsidP="008124E9">
                  <w:pPr>
                    <w:rPr>
                      <w:rFonts w:ascii="Bookman Old Style" w:eastAsia="Times New Roman" w:hAnsi="Bookman Old Style" w:cs="Times New Roman"/>
                      <w:sz w:val="24"/>
                      <w:szCs w:val="24"/>
                      <w:lang w:eastAsia="es-CO"/>
                    </w:rPr>
                  </w:pPr>
                  <w:r w:rsidRPr="008124E9">
                    <w:rPr>
                      <w:rFonts w:ascii="Bookman Old Style" w:eastAsia="Times New Roman" w:hAnsi="Bookman Old Style" w:cs="Times New Roman"/>
                      <w:b/>
                      <w:bCs/>
                      <w:color w:val="7D3B05"/>
                      <w:sz w:val="24"/>
                      <w:szCs w:val="24"/>
                      <w:lang w:eastAsia="es-CO"/>
                    </w:rPr>
                    <w:t>TIPO DE PROVIDENCIA</w:t>
                  </w:r>
                </w:p>
              </w:tc>
              <w:tc>
                <w:tcPr>
                  <w:tcW w:w="75" w:type="dxa"/>
                  <w:hideMark/>
                </w:tcPr>
                <w:p w:rsidR="008124E9" w:rsidRPr="008124E9" w:rsidRDefault="008124E9" w:rsidP="008124E9">
                  <w:pPr>
                    <w:rPr>
                      <w:rFonts w:ascii="Bookman Old Style" w:eastAsia="Times New Roman" w:hAnsi="Bookman Old Style" w:cs="Times New Roman"/>
                      <w:sz w:val="24"/>
                      <w:szCs w:val="24"/>
                      <w:lang w:eastAsia="es-CO"/>
                    </w:rPr>
                  </w:pPr>
                  <w:r w:rsidRPr="008124E9">
                    <w:rPr>
                      <w:rFonts w:ascii="Bookman Old Style" w:eastAsia="Times New Roman" w:hAnsi="Bookman Old Style" w:cs="Times New Roman"/>
                      <w:sz w:val="24"/>
                      <w:szCs w:val="24"/>
                      <w:lang w:eastAsia="es-CO"/>
                    </w:rPr>
                    <w:t>:</w:t>
                  </w:r>
                </w:p>
              </w:tc>
              <w:tc>
                <w:tcPr>
                  <w:tcW w:w="0" w:type="auto"/>
                  <w:vAlign w:val="center"/>
                  <w:hideMark/>
                </w:tcPr>
                <w:p w:rsidR="008124E9" w:rsidRPr="008124E9" w:rsidRDefault="008124E9" w:rsidP="008124E9">
                  <w:pPr>
                    <w:jc w:val="both"/>
                    <w:rPr>
                      <w:rFonts w:ascii="Bookman Old Style" w:eastAsia="Times New Roman" w:hAnsi="Bookman Old Style" w:cs="Times New Roman"/>
                      <w:sz w:val="24"/>
                      <w:szCs w:val="24"/>
                      <w:lang w:eastAsia="es-CO"/>
                    </w:rPr>
                  </w:pPr>
                  <w:r w:rsidRPr="008124E9">
                    <w:rPr>
                      <w:rFonts w:ascii="Bookman Old Style" w:eastAsia="Times New Roman" w:hAnsi="Bookman Old Style" w:cs="Times New Roman"/>
                      <w:sz w:val="24"/>
                      <w:szCs w:val="24"/>
                      <w:lang w:eastAsia="es-CO"/>
                    </w:rPr>
                    <w:t>SENTENCIA</w:t>
                  </w:r>
                </w:p>
              </w:tc>
            </w:tr>
            <w:tr w:rsidR="008124E9" w:rsidRPr="008124E9">
              <w:trPr>
                <w:tblCellSpacing w:w="15" w:type="dxa"/>
              </w:trPr>
              <w:tc>
                <w:tcPr>
                  <w:tcW w:w="3750" w:type="dxa"/>
                  <w:hideMark/>
                </w:tcPr>
                <w:p w:rsidR="008124E9" w:rsidRPr="008124E9" w:rsidRDefault="008124E9" w:rsidP="008124E9">
                  <w:pPr>
                    <w:rPr>
                      <w:rFonts w:ascii="Bookman Old Style" w:eastAsia="Times New Roman" w:hAnsi="Bookman Old Style" w:cs="Times New Roman"/>
                      <w:sz w:val="24"/>
                      <w:szCs w:val="24"/>
                      <w:lang w:eastAsia="es-CO"/>
                    </w:rPr>
                  </w:pPr>
                  <w:r w:rsidRPr="008124E9">
                    <w:rPr>
                      <w:rFonts w:ascii="Bookman Old Style" w:eastAsia="Times New Roman" w:hAnsi="Bookman Old Style" w:cs="Times New Roman"/>
                      <w:b/>
                      <w:bCs/>
                      <w:color w:val="7D3B05"/>
                      <w:sz w:val="24"/>
                      <w:szCs w:val="24"/>
                      <w:lang w:eastAsia="es-CO"/>
                    </w:rPr>
                    <w:t>FECHA</w:t>
                  </w:r>
                </w:p>
              </w:tc>
              <w:tc>
                <w:tcPr>
                  <w:tcW w:w="75" w:type="dxa"/>
                  <w:hideMark/>
                </w:tcPr>
                <w:p w:rsidR="008124E9" w:rsidRPr="008124E9" w:rsidRDefault="008124E9" w:rsidP="008124E9">
                  <w:pPr>
                    <w:rPr>
                      <w:rFonts w:ascii="Bookman Old Style" w:eastAsia="Times New Roman" w:hAnsi="Bookman Old Style" w:cs="Times New Roman"/>
                      <w:sz w:val="24"/>
                      <w:szCs w:val="24"/>
                      <w:lang w:eastAsia="es-CO"/>
                    </w:rPr>
                  </w:pPr>
                  <w:r w:rsidRPr="008124E9">
                    <w:rPr>
                      <w:rFonts w:ascii="Bookman Old Style" w:eastAsia="Times New Roman" w:hAnsi="Bookman Old Style" w:cs="Times New Roman"/>
                      <w:sz w:val="24"/>
                      <w:szCs w:val="24"/>
                      <w:lang w:eastAsia="es-CO"/>
                    </w:rPr>
                    <w:t>:</w:t>
                  </w:r>
                </w:p>
              </w:tc>
              <w:tc>
                <w:tcPr>
                  <w:tcW w:w="0" w:type="auto"/>
                  <w:vAlign w:val="center"/>
                  <w:hideMark/>
                </w:tcPr>
                <w:p w:rsidR="008124E9" w:rsidRPr="008124E9" w:rsidRDefault="008124E9" w:rsidP="008124E9">
                  <w:pPr>
                    <w:jc w:val="both"/>
                    <w:rPr>
                      <w:rFonts w:ascii="Bookman Old Style" w:eastAsia="Times New Roman" w:hAnsi="Bookman Old Style" w:cs="Times New Roman"/>
                      <w:sz w:val="24"/>
                      <w:szCs w:val="24"/>
                      <w:lang w:eastAsia="es-CO"/>
                    </w:rPr>
                  </w:pPr>
                  <w:r w:rsidRPr="008124E9">
                    <w:rPr>
                      <w:rFonts w:ascii="Bookman Old Style" w:eastAsia="Times New Roman" w:hAnsi="Bookman Old Style" w:cs="Times New Roman"/>
                      <w:sz w:val="24"/>
                      <w:szCs w:val="24"/>
                      <w:lang w:eastAsia="es-CO"/>
                    </w:rPr>
                    <w:t>04/03/2024</w:t>
                  </w:r>
                </w:p>
              </w:tc>
            </w:tr>
            <w:tr w:rsidR="008124E9" w:rsidRPr="008124E9">
              <w:trPr>
                <w:tblCellSpacing w:w="15" w:type="dxa"/>
              </w:trPr>
              <w:tc>
                <w:tcPr>
                  <w:tcW w:w="3750" w:type="dxa"/>
                  <w:hideMark/>
                </w:tcPr>
                <w:p w:rsidR="008124E9" w:rsidRPr="008124E9" w:rsidRDefault="008124E9" w:rsidP="008124E9">
                  <w:pPr>
                    <w:rPr>
                      <w:rFonts w:ascii="Bookman Old Style" w:eastAsia="Times New Roman" w:hAnsi="Bookman Old Style" w:cs="Times New Roman"/>
                      <w:sz w:val="24"/>
                      <w:szCs w:val="24"/>
                      <w:lang w:eastAsia="es-CO"/>
                    </w:rPr>
                  </w:pPr>
                  <w:r w:rsidRPr="008124E9">
                    <w:rPr>
                      <w:rFonts w:ascii="Bookman Old Style" w:eastAsia="Times New Roman" w:hAnsi="Bookman Old Style" w:cs="Times New Roman"/>
                      <w:b/>
                      <w:bCs/>
                      <w:color w:val="7D3B05"/>
                      <w:sz w:val="24"/>
                      <w:szCs w:val="24"/>
                      <w:lang w:eastAsia="es-CO"/>
                    </w:rPr>
                    <w:t>DECISIÓN</w:t>
                  </w:r>
                </w:p>
              </w:tc>
              <w:tc>
                <w:tcPr>
                  <w:tcW w:w="75" w:type="dxa"/>
                  <w:hideMark/>
                </w:tcPr>
                <w:p w:rsidR="008124E9" w:rsidRPr="008124E9" w:rsidRDefault="008124E9" w:rsidP="008124E9">
                  <w:pPr>
                    <w:rPr>
                      <w:rFonts w:ascii="Bookman Old Style" w:eastAsia="Times New Roman" w:hAnsi="Bookman Old Style" w:cs="Times New Roman"/>
                      <w:sz w:val="24"/>
                      <w:szCs w:val="24"/>
                      <w:lang w:eastAsia="es-CO"/>
                    </w:rPr>
                  </w:pPr>
                  <w:r w:rsidRPr="008124E9">
                    <w:rPr>
                      <w:rFonts w:ascii="Bookman Old Style" w:eastAsia="Times New Roman" w:hAnsi="Bookman Old Style" w:cs="Times New Roman"/>
                      <w:sz w:val="24"/>
                      <w:szCs w:val="24"/>
                      <w:lang w:eastAsia="es-CO"/>
                    </w:rPr>
                    <w:t>:</w:t>
                  </w:r>
                </w:p>
              </w:tc>
              <w:tc>
                <w:tcPr>
                  <w:tcW w:w="0" w:type="auto"/>
                  <w:vAlign w:val="center"/>
                  <w:hideMark/>
                </w:tcPr>
                <w:p w:rsidR="008124E9" w:rsidRPr="008124E9" w:rsidRDefault="008124E9" w:rsidP="008124E9">
                  <w:pPr>
                    <w:jc w:val="both"/>
                    <w:rPr>
                      <w:rFonts w:ascii="Bookman Old Style" w:eastAsia="Times New Roman" w:hAnsi="Bookman Old Style" w:cs="Times New Roman"/>
                      <w:sz w:val="24"/>
                      <w:szCs w:val="24"/>
                      <w:lang w:eastAsia="es-CO"/>
                    </w:rPr>
                  </w:pPr>
                  <w:r w:rsidRPr="008124E9">
                    <w:rPr>
                      <w:rFonts w:ascii="Bookman Old Style" w:eastAsia="Times New Roman" w:hAnsi="Bookman Old Style" w:cs="Times New Roman"/>
                      <w:sz w:val="24"/>
                      <w:szCs w:val="24"/>
                      <w:lang w:eastAsia="es-CO"/>
                    </w:rPr>
                    <w:t>DECLARA IMPROCEDENTE</w:t>
                  </w:r>
                </w:p>
              </w:tc>
            </w:tr>
            <w:tr w:rsidR="008124E9" w:rsidRPr="008124E9">
              <w:trPr>
                <w:tblCellSpacing w:w="15" w:type="dxa"/>
              </w:trPr>
              <w:tc>
                <w:tcPr>
                  <w:tcW w:w="3750" w:type="dxa"/>
                  <w:hideMark/>
                </w:tcPr>
                <w:p w:rsidR="008124E9" w:rsidRPr="008124E9" w:rsidRDefault="008124E9" w:rsidP="008124E9">
                  <w:pPr>
                    <w:rPr>
                      <w:rFonts w:ascii="Bookman Old Style" w:eastAsia="Times New Roman" w:hAnsi="Bookman Old Style" w:cs="Times New Roman"/>
                      <w:sz w:val="24"/>
                      <w:szCs w:val="24"/>
                      <w:lang w:eastAsia="es-CO"/>
                    </w:rPr>
                  </w:pPr>
                  <w:r w:rsidRPr="008124E9">
                    <w:rPr>
                      <w:rFonts w:ascii="Bookman Old Style" w:eastAsia="Times New Roman" w:hAnsi="Bookman Old Style" w:cs="Times New Roman"/>
                      <w:b/>
                      <w:bCs/>
                      <w:color w:val="7D3B05"/>
                      <w:sz w:val="24"/>
                      <w:szCs w:val="24"/>
                      <w:lang w:eastAsia="es-CO"/>
                    </w:rPr>
                    <w:t>ACCIONADO</w:t>
                  </w:r>
                </w:p>
              </w:tc>
              <w:tc>
                <w:tcPr>
                  <w:tcW w:w="75" w:type="dxa"/>
                  <w:hideMark/>
                </w:tcPr>
                <w:p w:rsidR="008124E9" w:rsidRPr="008124E9" w:rsidRDefault="008124E9" w:rsidP="008124E9">
                  <w:pPr>
                    <w:rPr>
                      <w:rFonts w:ascii="Bookman Old Style" w:eastAsia="Times New Roman" w:hAnsi="Bookman Old Style" w:cs="Times New Roman"/>
                      <w:sz w:val="24"/>
                      <w:szCs w:val="24"/>
                      <w:lang w:eastAsia="es-CO"/>
                    </w:rPr>
                  </w:pPr>
                  <w:r w:rsidRPr="008124E9">
                    <w:rPr>
                      <w:rFonts w:ascii="Bookman Old Style" w:eastAsia="Times New Roman" w:hAnsi="Bookman Old Style" w:cs="Times New Roman"/>
                      <w:sz w:val="24"/>
                      <w:szCs w:val="24"/>
                      <w:lang w:eastAsia="es-CO"/>
                    </w:rPr>
                    <w:t>:</w:t>
                  </w:r>
                </w:p>
              </w:tc>
              <w:tc>
                <w:tcPr>
                  <w:tcW w:w="0" w:type="auto"/>
                  <w:vAlign w:val="center"/>
                  <w:hideMark/>
                </w:tcPr>
                <w:p w:rsidR="008124E9" w:rsidRPr="008124E9" w:rsidRDefault="008124E9" w:rsidP="008124E9">
                  <w:pPr>
                    <w:jc w:val="both"/>
                    <w:rPr>
                      <w:rFonts w:ascii="Bookman Old Style" w:eastAsia="Times New Roman" w:hAnsi="Bookman Old Style" w:cs="Times New Roman"/>
                      <w:sz w:val="24"/>
                      <w:szCs w:val="24"/>
                      <w:lang w:eastAsia="es-CO"/>
                    </w:rPr>
                  </w:pPr>
                  <w:r w:rsidRPr="008124E9">
                    <w:rPr>
                      <w:rFonts w:ascii="Bookman Old Style" w:eastAsia="Times New Roman" w:hAnsi="Bookman Old Style" w:cs="Times New Roman"/>
                      <w:sz w:val="24"/>
                      <w:szCs w:val="24"/>
                      <w:lang w:eastAsia="es-CO"/>
                    </w:rPr>
                    <w:t>CORTE SUPREMA DE JUSTICIA / PRESIDENTE DE LA REPÚBLICA</w:t>
                  </w:r>
                </w:p>
              </w:tc>
            </w:tr>
            <w:tr w:rsidR="008124E9" w:rsidRPr="008124E9">
              <w:trPr>
                <w:tblCellSpacing w:w="15" w:type="dxa"/>
              </w:trPr>
              <w:tc>
                <w:tcPr>
                  <w:tcW w:w="3750" w:type="dxa"/>
                  <w:hideMark/>
                </w:tcPr>
                <w:p w:rsidR="008124E9" w:rsidRPr="008124E9" w:rsidRDefault="008124E9" w:rsidP="008124E9">
                  <w:pPr>
                    <w:rPr>
                      <w:rFonts w:ascii="Bookman Old Style" w:eastAsia="Times New Roman" w:hAnsi="Bookman Old Style" w:cs="Times New Roman"/>
                      <w:sz w:val="24"/>
                      <w:szCs w:val="24"/>
                      <w:lang w:eastAsia="es-CO"/>
                    </w:rPr>
                  </w:pPr>
                  <w:r w:rsidRPr="008124E9">
                    <w:rPr>
                      <w:rFonts w:ascii="Bookman Old Style" w:eastAsia="Times New Roman" w:hAnsi="Bookman Old Style" w:cs="Times New Roman"/>
                      <w:b/>
                      <w:bCs/>
                      <w:color w:val="7D3B05"/>
                      <w:sz w:val="24"/>
                      <w:szCs w:val="24"/>
                      <w:lang w:eastAsia="es-CO"/>
                    </w:rPr>
                    <w:t>ACCIONANTE</w:t>
                  </w:r>
                </w:p>
              </w:tc>
              <w:tc>
                <w:tcPr>
                  <w:tcW w:w="75" w:type="dxa"/>
                  <w:hideMark/>
                </w:tcPr>
                <w:p w:rsidR="008124E9" w:rsidRPr="008124E9" w:rsidRDefault="008124E9" w:rsidP="008124E9">
                  <w:pPr>
                    <w:rPr>
                      <w:rFonts w:ascii="Bookman Old Style" w:eastAsia="Times New Roman" w:hAnsi="Bookman Old Style" w:cs="Times New Roman"/>
                      <w:sz w:val="24"/>
                      <w:szCs w:val="24"/>
                      <w:lang w:eastAsia="es-CO"/>
                    </w:rPr>
                  </w:pPr>
                  <w:r w:rsidRPr="008124E9">
                    <w:rPr>
                      <w:rFonts w:ascii="Bookman Old Style" w:eastAsia="Times New Roman" w:hAnsi="Bookman Old Style" w:cs="Times New Roman"/>
                      <w:sz w:val="24"/>
                      <w:szCs w:val="24"/>
                      <w:lang w:eastAsia="es-CO"/>
                    </w:rPr>
                    <w:t>:</w:t>
                  </w:r>
                </w:p>
              </w:tc>
              <w:tc>
                <w:tcPr>
                  <w:tcW w:w="0" w:type="auto"/>
                  <w:vAlign w:val="center"/>
                  <w:hideMark/>
                </w:tcPr>
                <w:p w:rsidR="008124E9" w:rsidRPr="008124E9" w:rsidRDefault="008124E9" w:rsidP="008124E9">
                  <w:pPr>
                    <w:jc w:val="both"/>
                    <w:rPr>
                      <w:rFonts w:ascii="Bookman Old Style" w:eastAsia="Times New Roman" w:hAnsi="Bookman Old Style" w:cs="Times New Roman"/>
                      <w:sz w:val="24"/>
                      <w:szCs w:val="24"/>
                      <w:lang w:eastAsia="es-CO"/>
                    </w:rPr>
                  </w:pPr>
                  <w:r w:rsidRPr="008124E9">
                    <w:rPr>
                      <w:rFonts w:ascii="Bookman Old Style" w:eastAsia="Times New Roman" w:hAnsi="Bookman Old Style" w:cs="Times New Roman"/>
                      <w:sz w:val="24"/>
                      <w:szCs w:val="24"/>
                      <w:lang w:eastAsia="es-CO"/>
                    </w:rPr>
                    <w:t>RICHARD NICOLÁS MARTI´NEZ OLIVERA</w:t>
                  </w:r>
                </w:p>
              </w:tc>
            </w:tr>
            <w:tr w:rsidR="008124E9" w:rsidRPr="008124E9">
              <w:trPr>
                <w:tblCellSpacing w:w="15" w:type="dxa"/>
              </w:trPr>
              <w:tc>
                <w:tcPr>
                  <w:tcW w:w="3750" w:type="dxa"/>
                  <w:hideMark/>
                </w:tcPr>
                <w:p w:rsidR="008124E9" w:rsidRPr="008124E9" w:rsidRDefault="008124E9" w:rsidP="008124E9">
                  <w:pPr>
                    <w:rPr>
                      <w:rFonts w:ascii="Bookman Old Style" w:eastAsia="Times New Roman" w:hAnsi="Bookman Old Style" w:cs="Times New Roman"/>
                      <w:sz w:val="24"/>
                      <w:szCs w:val="24"/>
                      <w:lang w:eastAsia="es-CO"/>
                    </w:rPr>
                  </w:pPr>
                  <w:r w:rsidRPr="008124E9">
                    <w:rPr>
                      <w:rFonts w:ascii="Bookman Old Style" w:eastAsia="Times New Roman" w:hAnsi="Bookman Old Style" w:cs="Times New Roman"/>
                      <w:b/>
                      <w:bCs/>
                      <w:color w:val="7D3B05"/>
                      <w:sz w:val="24"/>
                      <w:szCs w:val="24"/>
                      <w:lang w:eastAsia="es-CO"/>
                    </w:rPr>
                    <w:t>ACTA n.º</w:t>
                  </w:r>
                </w:p>
              </w:tc>
              <w:tc>
                <w:tcPr>
                  <w:tcW w:w="75" w:type="dxa"/>
                  <w:hideMark/>
                </w:tcPr>
                <w:p w:rsidR="008124E9" w:rsidRPr="008124E9" w:rsidRDefault="008124E9" w:rsidP="008124E9">
                  <w:pPr>
                    <w:rPr>
                      <w:rFonts w:ascii="Bookman Old Style" w:eastAsia="Times New Roman" w:hAnsi="Bookman Old Style" w:cs="Times New Roman"/>
                      <w:sz w:val="24"/>
                      <w:szCs w:val="24"/>
                      <w:lang w:eastAsia="es-CO"/>
                    </w:rPr>
                  </w:pPr>
                  <w:r w:rsidRPr="008124E9">
                    <w:rPr>
                      <w:rFonts w:ascii="Bookman Old Style" w:eastAsia="Times New Roman" w:hAnsi="Bookman Old Style" w:cs="Times New Roman"/>
                      <w:sz w:val="24"/>
                      <w:szCs w:val="24"/>
                      <w:lang w:eastAsia="es-CO"/>
                    </w:rPr>
                    <w:t>:</w:t>
                  </w:r>
                </w:p>
              </w:tc>
              <w:tc>
                <w:tcPr>
                  <w:tcW w:w="0" w:type="auto"/>
                  <w:vAlign w:val="center"/>
                  <w:hideMark/>
                </w:tcPr>
                <w:p w:rsidR="008124E9" w:rsidRPr="008124E9" w:rsidRDefault="008124E9" w:rsidP="008124E9">
                  <w:pPr>
                    <w:jc w:val="both"/>
                    <w:rPr>
                      <w:rFonts w:ascii="Bookman Old Style" w:eastAsia="Times New Roman" w:hAnsi="Bookman Old Style" w:cs="Times New Roman"/>
                      <w:sz w:val="24"/>
                      <w:szCs w:val="24"/>
                      <w:lang w:eastAsia="es-CO"/>
                    </w:rPr>
                  </w:pPr>
                  <w:r w:rsidRPr="008124E9">
                    <w:rPr>
                      <w:rFonts w:ascii="Bookman Old Style" w:eastAsia="Times New Roman" w:hAnsi="Bookman Old Style" w:cs="Times New Roman"/>
                      <w:sz w:val="24"/>
                      <w:szCs w:val="24"/>
                      <w:lang w:eastAsia="es-CO"/>
                    </w:rPr>
                    <w:t>042</w:t>
                  </w:r>
                </w:p>
              </w:tc>
            </w:tr>
            <w:tr w:rsidR="008124E9" w:rsidRPr="008124E9">
              <w:trPr>
                <w:tblCellSpacing w:w="15" w:type="dxa"/>
              </w:trPr>
              <w:tc>
                <w:tcPr>
                  <w:tcW w:w="3750" w:type="dxa"/>
                  <w:hideMark/>
                </w:tcPr>
                <w:p w:rsidR="008124E9" w:rsidRPr="008124E9" w:rsidRDefault="008124E9" w:rsidP="008124E9">
                  <w:pPr>
                    <w:rPr>
                      <w:rFonts w:ascii="Bookman Old Style" w:eastAsia="Times New Roman" w:hAnsi="Bookman Old Style" w:cs="Times New Roman"/>
                      <w:sz w:val="24"/>
                      <w:szCs w:val="24"/>
                      <w:lang w:eastAsia="es-CO"/>
                    </w:rPr>
                  </w:pPr>
                  <w:r w:rsidRPr="008124E9">
                    <w:rPr>
                      <w:rFonts w:ascii="Bookman Old Style" w:eastAsia="Times New Roman" w:hAnsi="Bookman Old Style" w:cs="Times New Roman"/>
                      <w:b/>
                      <w:bCs/>
                      <w:color w:val="7D3B05"/>
                      <w:sz w:val="24"/>
                      <w:szCs w:val="24"/>
                      <w:lang w:eastAsia="es-CO"/>
                    </w:rPr>
                    <w:t>FUENTE FORMAL</w:t>
                  </w:r>
                </w:p>
              </w:tc>
              <w:tc>
                <w:tcPr>
                  <w:tcW w:w="75" w:type="dxa"/>
                  <w:hideMark/>
                </w:tcPr>
                <w:p w:rsidR="008124E9" w:rsidRPr="008124E9" w:rsidRDefault="008124E9" w:rsidP="008124E9">
                  <w:pPr>
                    <w:rPr>
                      <w:rFonts w:ascii="Bookman Old Style" w:eastAsia="Times New Roman" w:hAnsi="Bookman Old Style" w:cs="Times New Roman"/>
                      <w:sz w:val="24"/>
                      <w:szCs w:val="24"/>
                      <w:lang w:eastAsia="es-CO"/>
                    </w:rPr>
                  </w:pPr>
                  <w:r w:rsidRPr="008124E9">
                    <w:rPr>
                      <w:rFonts w:ascii="Bookman Old Style" w:eastAsia="Times New Roman" w:hAnsi="Bookman Old Style" w:cs="Times New Roman"/>
                      <w:sz w:val="24"/>
                      <w:szCs w:val="24"/>
                      <w:lang w:eastAsia="es-CO"/>
                    </w:rPr>
                    <w:t>:</w:t>
                  </w:r>
                </w:p>
              </w:tc>
              <w:tc>
                <w:tcPr>
                  <w:tcW w:w="0" w:type="auto"/>
                  <w:vAlign w:val="center"/>
                  <w:hideMark/>
                </w:tcPr>
                <w:p w:rsidR="008124E9" w:rsidRPr="008124E9" w:rsidRDefault="008124E9" w:rsidP="008124E9">
                  <w:pPr>
                    <w:jc w:val="both"/>
                    <w:rPr>
                      <w:rFonts w:ascii="Bookman Old Style" w:eastAsia="Times New Roman" w:hAnsi="Bookman Old Style" w:cs="Times New Roman"/>
                      <w:sz w:val="24"/>
                      <w:szCs w:val="24"/>
                      <w:lang w:eastAsia="es-CO"/>
                    </w:rPr>
                  </w:pPr>
                  <w:r w:rsidRPr="008124E9">
                    <w:rPr>
                      <w:rFonts w:ascii="Bookman Old Style" w:eastAsia="Times New Roman" w:hAnsi="Bookman Old Style" w:cs="Times New Roman"/>
                      <w:sz w:val="24"/>
                      <w:szCs w:val="24"/>
                      <w:lang w:eastAsia="es-CO"/>
                    </w:rPr>
                    <w:t>Decreto 2591 de 1991 art. 1, 6 / Constitución Política de Colombia 249 / Ley 1427 de 2011 arts. 223 / Ley 270 de 1996 / Acuerdo 2114 de 2023 / Acuerdo 006 de 2002 / Decreto Ley 16 de 2014</w:t>
                  </w:r>
                </w:p>
              </w:tc>
            </w:tr>
          </w:tbl>
          <w:p w:rsidR="008124E9" w:rsidRPr="008124E9" w:rsidRDefault="008124E9" w:rsidP="008124E9">
            <w:pPr>
              <w:rPr>
                <w:rFonts w:ascii="Bookman Old Style" w:eastAsia="Times New Roman" w:hAnsi="Bookman Old Style" w:cs="Times New Roman"/>
                <w:sz w:val="24"/>
                <w:szCs w:val="24"/>
                <w:lang w:eastAsia="es-CO"/>
              </w:rPr>
            </w:pPr>
          </w:p>
        </w:tc>
      </w:tr>
    </w:tbl>
    <w:p w:rsidR="008124E9" w:rsidRPr="008124E9" w:rsidRDefault="008124E9" w:rsidP="008124E9">
      <w:pPr>
        <w:jc w:val="both"/>
        <w:rPr>
          <w:rFonts w:ascii="Bookman Old Style" w:eastAsia="Times New Roman" w:hAnsi="Bookman Old Style" w:cs="Times New Roman"/>
          <w:vanish/>
          <w:color w:val="000000"/>
          <w:sz w:val="24"/>
          <w:szCs w:val="24"/>
          <w:lang w:eastAsia="es-CO"/>
        </w:rPr>
      </w:pPr>
    </w:p>
    <w:tbl>
      <w:tblPr>
        <w:tblW w:w="5000"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8824"/>
      </w:tblGrid>
      <w:tr w:rsidR="008124E9" w:rsidRPr="008124E9" w:rsidTr="008124E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8124E9" w:rsidRPr="008124E9" w:rsidRDefault="008124E9" w:rsidP="008124E9">
            <w:pPr>
              <w:rPr>
                <w:rFonts w:ascii="Bookman Old Style" w:eastAsia="Times New Roman" w:hAnsi="Bookman Old Style" w:cs="Times New Roman"/>
                <w:sz w:val="24"/>
                <w:szCs w:val="24"/>
                <w:lang w:eastAsia="es-CO"/>
              </w:rPr>
            </w:pPr>
          </w:p>
          <w:p w:rsidR="008124E9" w:rsidRPr="008124E9" w:rsidRDefault="008124E9" w:rsidP="008124E9">
            <w:pPr>
              <w:rPr>
                <w:rFonts w:ascii="Bookman Old Style" w:eastAsia="Times New Roman" w:hAnsi="Bookman Old Style" w:cs="Times New Roman"/>
                <w:sz w:val="24"/>
                <w:szCs w:val="24"/>
                <w:lang w:eastAsia="es-CO"/>
              </w:rPr>
            </w:pPr>
            <w:r w:rsidRPr="008124E9">
              <w:rPr>
                <w:rFonts w:ascii="Bookman Old Style" w:eastAsia="Times New Roman" w:hAnsi="Bookman Old Style" w:cs="Times New Roman"/>
                <w:b/>
                <w:bCs/>
                <w:color w:val="7D3B05"/>
                <w:sz w:val="24"/>
                <w:szCs w:val="24"/>
                <w:lang w:eastAsia="es-CO"/>
              </w:rPr>
              <w:t>ASUNTO:</w:t>
            </w:r>
          </w:p>
          <w:p w:rsidR="008124E9" w:rsidRDefault="008124E9" w:rsidP="008124E9">
            <w:pPr>
              <w:jc w:val="both"/>
              <w:rPr>
                <w:rFonts w:ascii="Bookman Old Style" w:eastAsia="Times New Roman" w:hAnsi="Bookman Old Style" w:cs="Times New Roman"/>
                <w:sz w:val="24"/>
                <w:szCs w:val="24"/>
                <w:lang w:eastAsia="es-CO"/>
              </w:rPr>
            </w:pPr>
            <w:r w:rsidRPr="008124E9">
              <w:rPr>
                <w:rFonts w:ascii="Bookman Old Style" w:eastAsia="Times New Roman" w:hAnsi="Bookman Old Style" w:cs="Times New Roman"/>
                <w:sz w:val="24"/>
                <w:szCs w:val="24"/>
                <w:lang w:eastAsia="es-CO"/>
              </w:rPr>
              <w:t xml:space="preserve">SUPUESTOS FÁCTICOS: </w:t>
            </w:r>
          </w:p>
          <w:p w:rsidR="008124E9" w:rsidRDefault="008124E9" w:rsidP="008124E9">
            <w:pPr>
              <w:jc w:val="both"/>
              <w:rPr>
                <w:rFonts w:ascii="Bookman Old Style" w:eastAsia="Times New Roman" w:hAnsi="Bookman Old Style" w:cs="Times New Roman"/>
                <w:sz w:val="24"/>
                <w:szCs w:val="24"/>
                <w:lang w:eastAsia="es-CO"/>
              </w:rPr>
            </w:pPr>
          </w:p>
          <w:p w:rsidR="00F610CA" w:rsidRDefault="008124E9" w:rsidP="008124E9">
            <w:pPr>
              <w:jc w:val="both"/>
              <w:rPr>
                <w:rFonts w:ascii="Bookman Old Style" w:eastAsia="Times New Roman" w:hAnsi="Bookman Old Style" w:cs="Times New Roman"/>
                <w:sz w:val="24"/>
                <w:szCs w:val="24"/>
                <w:lang w:eastAsia="es-CO"/>
              </w:rPr>
            </w:pPr>
            <w:r w:rsidRPr="008124E9">
              <w:rPr>
                <w:rFonts w:ascii="Bookman Old Style" w:eastAsia="Times New Roman" w:hAnsi="Bookman Old Style" w:cs="Times New Roman"/>
                <w:sz w:val="24"/>
                <w:szCs w:val="24"/>
                <w:lang w:eastAsia="es-CO"/>
              </w:rPr>
              <w:t xml:space="preserve">El accionante solicitó que se ampare su derecho fundamental a la paz, que se proteja el buen nombre de Colombia, que se cumpla con la Constitución Política y que se le garantice el derecho a tener un fiscal general de la Nación en propiedad, sin permitir que la vicefiscal general, doctora Martha Mancera, ejerza en encargo. </w:t>
            </w:r>
          </w:p>
          <w:p w:rsidR="00F610CA" w:rsidRDefault="00F610CA" w:rsidP="008124E9">
            <w:pPr>
              <w:jc w:val="both"/>
              <w:rPr>
                <w:rFonts w:ascii="Bookman Old Style" w:eastAsia="Times New Roman" w:hAnsi="Bookman Old Style" w:cs="Times New Roman"/>
                <w:sz w:val="24"/>
                <w:szCs w:val="24"/>
                <w:lang w:eastAsia="es-CO"/>
              </w:rPr>
            </w:pPr>
          </w:p>
          <w:p w:rsidR="00F610CA" w:rsidRDefault="008124E9" w:rsidP="008124E9">
            <w:pPr>
              <w:jc w:val="both"/>
              <w:rPr>
                <w:rFonts w:ascii="Bookman Old Style" w:eastAsia="Times New Roman" w:hAnsi="Bookman Old Style" w:cs="Times New Roman"/>
                <w:sz w:val="24"/>
                <w:szCs w:val="24"/>
                <w:lang w:eastAsia="es-CO"/>
              </w:rPr>
            </w:pPr>
            <w:r w:rsidRPr="008124E9">
              <w:rPr>
                <w:rFonts w:ascii="Bookman Old Style" w:eastAsia="Times New Roman" w:hAnsi="Bookman Old Style" w:cs="Times New Roman"/>
                <w:sz w:val="24"/>
                <w:szCs w:val="24"/>
                <w:lang w:eastAsia="es-CO"/>
              </w:rPr>
              <w:t xml:space="preserve">Manifestó que, como quiera que el período constitucional del fiscal Francisco Barbosa terminaba el 16 de febrero de 2024, el presidente de la República, en el ejercicio de sus funciones constitucionales, presentó ante la Corte Suprema de Justicia la terna de aspirantes para la elección de la próxima fiscal general de la Nación, conformada por las doctoras Ángela María Buitrago Ruíz, Amelia Pérez Parra y Amparo Cerón Ojeda. </w:t>
            </w:r>
          </w:p>
          <w:p w:rsidR="00F610CA" w:rsidRDefault="00F610CA" w:rsidP="008124E9">
            <w:pPr>
              <w:jc w:val="both"/>
              <w:rPr>
                <w:rFonts w:ascii="Bookman Old Style" w:eastAsia="Times New Roman" w:hAnsi="Bookman Old Style" w:cs="Times New Roman"/>
                <w:sz w:val="24"/>
                <w:szCs w:val="24"/>
                <w:lang w:eastAsia="es-CO"/>
              </w:rPr>
            </w:pPr>
          </w:p>
          <w:p w:rsidR="00F610CA" w:rsidRDefault="008124E9" w:rsidP="008124E9">
            <w:pPr>
              <w:jc w:val="both"/>
              <w:rPr>
                <w:rFonts w:ascii="Bookman Old Style" w:eastAsia="Times New Roman" w:hAnsi="Bookman Old Style" w:cs="Times New Roman"/>
                <w:sz w:val="24"/>
                <w:szCs w:val="24"/>
                <w:lang w:eastAsia="es-CO"/>
              </w:rPr>
            </w:pPr>
            <w:r w:rsidRPr="008124E9">
              <w:rPr>
                <w:rFonts w:ascii="Bookman Old Style" w:eastAsia="Times New Roman" w:hAnsi="Bookman Old Style" w:cs="Times New Roman"/>
                <w:sz w:val="24"/>
                <w:szCs w:val="24"/>
                <w:lang w:eastAsia="es-CO"/>
              </w:rPr>
              <w:t xml:space="preserve">Así mismo, que la Corte Suprema de Justicia al no elegir su reemplazo, está permitiendo por omisión, aplicar una costumbre que resulta inconstitucional, por cuanto es una vía de hecho mantener en el cargo a la vicefiscal general de la Nación, en interinidad. </w:t>
            </w:r>
          </w:p>
          <w:p w:rsidR="00F610CA" w:rsidRDefault="00F610CA" w:rsidP="008124E9">
            <w:pPr>
              <w:jc w:val="both"/>
              <w:rPr>
                <w:rFonts w:ascii="Bookman Old Style" w:eastAsia="Times New Roman" w:hAnsi="Bookman Old Style" w:cs="Times New Roman"/>
                <w:sz w:val="24"/>
                <w:szCs w:val="24"/>
                <w:lang w:eastAsia="es-CO"/>
              </w:rPr>
            </w:pPr>
          </w:p>
          <w:p w:rsidR="00F610CA" w:rsidRDefault="008124E9" w:rsidP="008124E9">
            <w:pPr>
              <w:jc w:val="both"/>
              <w:rPr>
                <w:rFonts w:ascii="Bookman Old Style" w:eastAsia="Times New Roman" w:hAnsi="Bookman Old Style" w:cs="Times New Roman"/>
                <w:sz w:val="24"/>
                <w:szCs w:val="24"/>
                <w:lang w:eastAsia="es-CO"/>
              </w:rPr>
            </w:pPr>
            <w:r w:rsidRPr="008124E9">
              <w:rPr>
                <w:rFonts w:ascii="Bookman Old Style" w:eastAsia="Times New Roman" w:hAnsi="Bookman Old Style" w:cs="Times New Roman"/>
                <w:sz w:val="24"/>
                <w:szCs w:val="24"/>
                <w:lang w:eastAsia="es-CO"/>
              </w:rPr>
              <w:t xml:space="preserve">PROBLEMA JURÍDICO: </w:t>
            </w:r>
          </w:p>
          <w:p w:rsidR="00F610CA" w:rsidRDefault="00F610CA" w:rsidP="008124E9">
            <w:pPr>
              <w:jc w:val="both"/>
              <w:rPr>
                <w:rFonts w:ascii="Bookman Old Style" w:eastAsia="Times New Roman" w:hAnsi="Bookman Old Style" w:cs="Times New Roman"/>
                <w:sz w:val="24"/>
                <w:szCs w:val="24"/>
                <w:lang w:eastAsia="es-CO"/>
              </w:rPr>
            </w:pPr>
          </w:p>
          <w:p w:rsidR="00F610CA" w:rsidRDefault="008124E9" w:rsidP="008124E9">
            <w:pPr>
              <w:jc w:val="both"/>
              <w:rPr>
                <w:rFonts w:ascii="Bookman Old Style" w:eastAsia="Times New Roman" w:hAnsi="Bookman Old Style" w:cs="Times New Roman"/>
                <w:sz w:val="24"/>
                <w:szCs w:val="24"/>
                <w:lang w:eastAsia="es-CO"/>
              </w:rPr>
            </w:pPr>
            <w:r w:rsidRPr="008124E9">
              <w:rPr>
                <w:rFonts w:ascii="Bookman Old Style" w:eastAsia="Times New Roman" w:hAnsi="Bookman Old Style" w:cs="Times New Roman"/>
                <w:sz w:val="24"/>
                <w:szCs w:val="24"/>
                <w:lang w:eastAsia="es-CO"/>
              </w:rPr>
              <w:t xml:space="preserve">1. ¿Es procedente la acción de tutela para amparar el derecho fundamental a la paz, proteger el buen nombre de Colombia, garantizar el cumplimiento de la Constitución Política y asegurar el derecho a tener fiscal general de la Nación en propiedad? </w:t>
            </w:r>
          </w:p>
          <w:p w:rsidR="00F610CA" w:rsidRDefault="00F610CA" w:rsidP="008124E9">
            <w:pPr>
              <w:jc w:val="both"/>
              <w:rPr>
                <w:rFonts w:ascii="Bookman Old Style" w:eastAsia="Times New Roman" w:hAnsi="Bookman Old Style" w:cs="Times New Roman"/>
                <w:sz w:val="24"/>
                <w:szCs w:val="24"/>
                <w:lang w:eastAsia="es-CO"/>
              </w:rPr>
            </w:pPr>
          </w:p>
          <w:p w:rsidR="00F610CA" w:rsidRDefault="008124E9" w:rsidP="008124E9">
            <w:pPr>
              <w:jc w:val="both"/>
              <w:rPr>
                <w:rFonts w:ascii="Bookman Old Style" w:eastAsia="Times New Roman" w:hAnsi="Bookman Old Style" w:cs="Times New Roman"/>
                <w:sz w:val="24"/>
                <w:szCs w:val="24"/>
                <w:lang w:eastAsia="es-CO"/>
              </w:rPr>
            </w:pPr>
            <w:r w:rsidRPr="008124E9">
              <w:rPr>
                <w:rFonts w:ascii="Bookman Old Style" w:eastAsia="Times New Roman" w:hAnsi="Bookman Old Style" w:cs="Times New Roman"/>
                <w:sz w:val="24"/>
                <w:szCs w:val="24"/>
                <w:lang w:eastAsia="es-CO"/>
              </w:rPr>
              <w:t xml:space="preserve">2. ¿La falta de elección oportuna de fiscal general de la Nación por parte de la Corte Suprema de Justicia, constituye una vía de hecho? </w:t>
            </w:r>
          </w:p>
          <w:p w:rsidR="00F610CA" w:rsidRDefault="00F610CA" w:rsidP="008124E9">
            <w:pPr>
              <w:jc w:val="both"/>
              <w:rPr>
                <w:rFonts w:ascii="Bookman Old Style" w:eastAsia="Times New Roman" w:hAnsi="Bookman Old Style" w:cs="Times New Roman"/>
                <w:sz w:val="24"/>
                <w:szCs w:val="24"/>
                <w:lang w:eastAsia="es-CO"/>
              </w:rPr>
            </w:pPr>
          </w:p>
          <w:p w:rsidR="00F610CA" w:rsidRDefault="008124E9" w:rsidP="008124E9">
            <w:pPr>
              <w:jc w:val="both"/>
              <w:rPr>
                <w:rFonts w:ascii="Bookman Old Style" w:eastAsia="Times New Roman" w:hAnsi="Bookman Old Style" w:cs="Times New Roman"/>
                <w:sz w:val="24"/>
                <w:szCs w:val="24"/>
                <w:lang w:eastAsia="es-CO"/>
              </w:rPr>
            </w:pPr>
            <w:r w:rsidRPr="008124E9">
              <w:rPr>
                <w:rFonts w:ascii="Bookman Old Style" w:eastAsia="Times New Roman" w:hAnsi="Bookman Old Style" w:cs="Times New Roman"/>
                <w:sz w:val="24"/>
                <w:szCs w:val="24"/>
                <w:lang w:eastAsia="es-CO"/>
              </w:rPr>
              <w:t xml:space="preserve">3. ¿Es viable utilizar la acción de tutela como un medio para interferir en el proceso democrático y discrecional de elección de fiscal general de la Nación? 4. </w:t>
            </w:r>
          </w:p>
          <w:p w:rsidR="00F610CA" w:rsidRDefault="00F610CA" w:rsidP="008124E9">
            <w:pPr>
              <w:jc w:val="both"/>
              <w:rPr>
                <w:rFonts w:ascii="Bookman Old Style" w:eastAsia="Times New Roman" w:hAnsi="Bookman Old Style" w:cs="Times New Roman"/>
                <w:sz w:val="24"/>
                <w:szCs w:val="24"/>
                <w:lang w:eastAsia="es-CO"/>
              </w:rPr>
            </w:pPr>
          </w:p>
          <w:p w:rsidR="008124E9" w:rsidRPr="008124E9" w:rsidRDefault="008124E9" w:rsidP="008124E9">
            <w:pPr>
              <w:jc w:val="both"/>
              <w:rPr>
                <w:rFonts w:ascii="Bookman Old Style" w:eastAsia="Times New Roman" w:hAnsi="Bookman Old Style" w:cs="Times New Roman"/>
                <w:sz w:val="24"/>
                <w:szCs w:val="24"/>
                <w:lang w:eastAsia="es-CO"/>
              </w:rPr>
            </w:pPr>
            <w:r w:rsidRPr="008124E9">
              <w:rPr>
                <w:rFonts w:ascii="Bookman Old Style" w:eastAsia="Times New Roman" w:hAnsi="Bookman Old Style" w:cs="Times New Roman"/>
                <w:sz w:val="24"/>
                <w:szCs w:val="24"/>
                <w:lang w:eastAsia="es-CO"/>
              </w:rPr>
              <w:t>¿Es procedente la acción de tutela como medio para evitar la designación de la vicefiscal como fiscal general encargada?</w:t>
            </w:r>
          </w:p>
          <w:p w:rsidR="008124E9" w:rsidRPr="008124E9" w:rsidRDefault="008124E9" w:rsidP="008124E9">
            <w:pPr>
              <w:rPr>
                <w:rFonts w:ascii="Bookman Old Style" w:eastAsia="Times New Roman" w:hAnsi="Bookman Old Style" w:cs="Times New Roman"/>
                <w:sz w:val="24"/>
                <w:szCs w:val="24"/>
                <w:lang w:eastAsia="es-CO"/>
              </w:rPr>
            </w:pPr>
          </w:p>
        </w:tc>
      </w:tr>
    </w:tbl>
    <w:p w:rsidR="008124E9" w:rsidRPr="008124E9" w:rsidRDefault="008124E9" w:rsidP="008124E9">
      <w:pPr>
        <w:jc w:val="both"/>
        <w:rPr>
          <w:rFonts w:ascii="Bookman Old Style" w:eastAsia="Times New Roman" w:hAnsi="Bookman Old Style" w:cs="Times New Roman"/>
          <w:color w:val="000000"/>
          <w:sz w:val="24"/>
          <w:szCs w:val="24"/>
          <w:lang w:eastAsia="es-CO"/>
        </w:rPr>
      </w:pPr>
    </w:p>
    <w:p w:rsidR="008124E9" w:rsidRPr="008124E9" w:rsidRDefault="008124E9" w:rsidP="008124E9">
      <w:pPr>
        <w:jc w:val="both"/>
        <w:rPr>
          <w:rFonts w:ascii="Bookman Old Style" w:eastAsia="Times New Roman" w:hAnsi="Bookman Old Style" w:cs="Times New Roman"/>
          <w:color w:val="000000"/>
          <w:sz w:val="24"/>
          <w:szCs w:val="24"/>
          <w:lang w:eastAsia="es-CO"/>
        </w:rPr>
      </w:pPr>
      <w:r w:rsidRPr="008124E9">
        <w:rPr>
          <w:rFonts w:ascii="Bookman Old Style" w:eastAsia="Times New Roman" w:hAnsi="Bookman Old Style" w:cs="Times New Roman"/>
          <w:b/>
          <w:bCs/>
          <w:color w:val="7D3B05"/>
          <w:sz w:val="24"/>
          <w:szCs w:val="24"/>
          <w:lang w:eastAsia="es-CO"/>
        </w:rPr>
        <w:t>TEMA: </w:t>
      </w:r>
      <w:r w:rsidRPr="008124E9">
        <w:rPr>
          <w:rFonts w:ascii="Bookman Old Style" w:eastAsia="Times New Roman" w:hAnsi="Bookman Old Style" w:cs="Times New Roman"/>
          <w:b/>
          <w:bCs/>
          <w:color w:val="000000"/>
          <w:sz w:val="24"/>
          <w:szCs w:val="24"/>
          <w:lang w:eastAsia="es-CO"/>
        </w:rPr>
        <w:t>ACCIÓN DE TUTELA</w:t>
      </w:r>
      <w:r w:rsidRPr="008124E9">
        <w:rPr>
          <w:rFonts w:ascii="Bookman Old Style" w:eastAsia="Times New Roman" w:hAnsi="Bookman Old Style" w:cs="Times New Roman"/>
          <w:color w:val="000000"/>
          <w:sz w:val="24"/>
          <w:szCs w:val="24"/>
          <w:lang w:eastAsia="es-CO"/>
        </w:rPr>
        <w:t> - Principio de subsidiariedad y residualidad: improcedencia de la acción cuando concurre otro mecanismo de defensa judicial</w:t>
      </w:r>
    </w:p>
    <w:p w:rsidR="008124E9" w:rsidRPr="008124E9" w:rsidRDefault="008124E9" w:rsidP="008124E9">
      <w:pPr>
        <w:jc w:val="both"/>
        <w:rPr>
          <w:rFonts w:ascii="Bookman Old Style" w:eastAsia="Times New Roman" w:hAnsi="Bookman Old Style" w:cs="Times New Roman"/>
          <w:color w:val="000000"/>
          <w:sz w:val="24"/>
          <w:szCs w:val="24"/>
          <w:lang w:eastAsia="es-CO"/>
        </w:rPr>
      </w:pPr>
    </w:p>
    <w:p w:rsidR="008124E9" w:rsidRPr="008124E9" w:rsidRDefault="008124E9" w:rsidP="008124E9">
      <w:pPr>
        <w:jc w:val="both"/>
        <w:rPr>
          <w:rFonts w:ascii="Bookman Old Style" w:eastAsia="Times New Roman" w:hAnsi="Bookman Old Style" w:cs="Times New Roman"/>
          <w:color w:val="000000"/>
          <w:sz w:val="24"/>
          <w:szCs w:val="24"/>
          <w:lang w:eastAsia="es-CO"/>
        </w:rPr>
      </w:pPr>
      <w:r w:rsidRPr="008124E9">
        <w:rPr>
          <w:rFonts w:ascii="Bookman Old Style" w:eastAsia="Times New Roman" w:hAnsi="Bookman Old Style" w:cs="Times New Roman"/>
          <w:b/>
          <w:bCs/>
          <w:color w:val="000000"/>
          <w:sz w:val="24"/>
          <w:szCs w:val="24"/>
          <w:lang w:eastAsia="es-CO"/>
        </w:rPr>
        <w:t>DERECHO CONSTITUCIONAL</w:t>
      </w:r>
      <w:r w:rsidRPr="008124E9">
        <w:rPr>
          <w:rFonts w:ascii="Bookman Old Style" w:eastAsia="Times New Roman" w:hAnsi="Bookman Old Style" w:cs="Times New Roman"/>
          <w:color w:val="000000"/>
          <w:sz w:val="24"/>
          <w:szCs w:val="24"/>
          <w:lang w:eastAsia="es-CO"/>
        </w:rPr>
        <w:t> - Acciones constitucionales - Acción de tutela - Requisitos de procedencia: legitimación en la causa, subsidiariedad e inmediatez</w:t>
      </w:r>
    </w:p>
    <w:p w:rsidR="008124E9" w:rsidRPr="008124E9" w:rsidRDefault="008124E9" w:rsidP="008124E9">
      <w:pPr>
        <w:jc w:val="both"/>
        <w:rPr>
          <w:rFonts w:ascii="Bookman Old Style" w:eastAsia="Times New Roman" w:hAnsi="Bookman Old Style" w:cs="Times New Roman"/>
          <w:color w:val="000000"/>
          <w:sz w:val="24"/>
          <w:szCs w:val="24"/>
          <w:lang w:eastAsia="es-CO"/>
        </w:rPr>
      </w:pPr>
    </w:p>
    <w:p w:rsidR="008124E9" w:rsidRPr="008124E9" w:rsidRDefault="008124E9" w:rsidP="008124E9">
      <w:pPr>
        <w:jc w:val="both"/>
        <w:rPr>
          <w:rFonts w:ascii="Bookman Old Style" w:eastAsia="Times New Roman" w:hAnsi="Bookman Old Style" w:cs="Times New Roman"/>
          <w:color w:val="000000"/>
          <w:sz w:val="24"/>
          <w:szCs w:val="24"/>
          <w:lang w:eastAsia="es-CO"/>
        </w:rPr>
      </w:pPr>
      <w:r w:rsidRPr="008124E9">
        <w:rPr>
          <w:rFonts w:ascii="Bookman Old Style" w:eastAsia="Times New Roman" w:hAnsi="Bookman Old Style" w:cs="Times New Roman"/>
          <w:b/>
          <w:bCs/>
          <w:color w:val="7D3B05"/>
          <w:sz w:val="24"/>
          <w:szCs w:val="24"/>
          <w:lang w:eastAsia="es-CO"/>
        </w:rPr>
        <w:t>Tesis:</w:t>
      </w:r>
    </w:p>
    <w:p w:rsidR="008124E9" w:rsidRPr="008124E9" w:rsidRDefault="008124E9" w:rsidP="008124E9">
      <w:pPr>
        <w:jc w:val="both"/>
        <w:rPr>
          <w:rFonts w:ascii="Bookman Old Style" w:eastAsia="Times New Roman" w:hAnsi="Bookman Old Style" w:cs="Times New Roman"/>
          <w:color w:val="000000"/>
          <w:sz w:val="24"/>
          <w:szCs w:val="24"/>
          <w:lang w:eastAsia="es-CO"/>
        </w:rPr>
      </w:pPr>
      <w:r w:rsidRPr="008124E9">
        <w:rPr>
          <w:rFonts w:ascii="Bookman Old Style" w:eastAsia="Times New Roman" w:hAnsi="Bookman Old Style" w:cs="Times New Roman"/>
          <w:color w:val="000000"/>
          <w:sz w:val="24"/>
          <w:szCs w:val="24"/>
          <w:lang w:eastAsia="es-CO"/>
        </w:rPr>
        <w:t>«La acción de tutela es un mecanismo constitucional de protección inmediata y generalmente transitoria de los derechos fundamentales, prevista en el artículo 86 de la Constitución Política. Se caracteriza por ser una garantía residual y subsidiaria. En este sentido, la jurisprudencia de la Corte Constitucional señala con claridad que, antes de analizar de fondo los problemas jurídicos que presenta la acción de tutela, el juez constitucional está en la obligación de estudiar si esta cumple con los requisitos para ser procedente.</w:t>
      </w:r>
    </w:p>
    <w:p w:rsidR="008124E9" w:rsidRPr="008124E9" w:rsidRDefault="008124E9" w:rsidP="008124E9">
      <w:pPr>
        <w:jc w:val="both"/>
        <w:rPr>
          <w:rFonts w:ascii="Bookman Old Style" w:eastAsia="Times New Roman" w:hAnsi="Bookman Old Style" w:cs="Times New Roman"/>
          <w:color w:val="000000"/>
          <w:sz w:val="24"/>
          <w:szCs w:val="24"/>
          <w:lang w:eastAsia="es-CO"/>
        </w:rPr>
      </w:pPr>
    </w:p>
    <w:p w:rsidR="008124E9" w:rsidRPr="008124E9" w:rsidRDefault="008124E9" w:rsidP="008124E9">
      <w:pPr>
        <w:jc w:val="both"/>
        <w:rPr>
          <w:rFonts w:ascii="Bookman Old Style" w:eastAsia="Times New Roman" w:hAnsi="Bookman Old Style" w:cs="Times New Roman"/>
          <w:color w:val="000000"/>
          <w:sz w:val="24"/>
          <w:szCs w:val="24"/>
          <w:lang w:eastAsia="es-CO"/>
        </w:rPr>
      </w:pPr>
      <w:r w:rsidRPr="008124E9">
        <w:rPr>
          <w:rFonts w:ascii="Bookman Old Style" w:eastAsia="Times New Roman" w:hAnsi="Bookman Old Style" w:cs="Times New Roman"/>
          <w:color w:val="000000"/>
          <w:sz w:val="24"/>
          <w:szCs w:val="24"/>
          <w:lang w:eastAsia="es-CO"/>
        </w:rPr>
        <w:t>Precisamente el artículo 1º del Decreto 2591 de 1991 señala que la finalidad de la acción de tutela es la protección inmediata de los derechos fundamentales “cuando quiera que éstos resulten vulnerados o amenazados por la acción o la omisión de cualquier autoridad pública o de los particulares en los casos que señale este decreto”. Norma de la cual se desprende que la acción de tutela es improcedente, cuando esta no tenga como pretensión principal la defensa de garantías constitucionales fundamentales, cuando la amenaza contra tales derechos no sea actual o sea inexistente, o el amparo carezca de objeto.</w:t>
      </w:r>
    </w:p>
    <w:p w:rsidR="008124E9" w:rsidRPr="008124E9" w:rsidRDefault="008124E9" w:rsidP="008124E9">
      <w:pPr>
        <w:jc w:val="both"/>
        <w:rPr>
          <w:rFonts w:ascii="Bookman Old Style" w:eastAsia="Times New Roman" w:hAnsi="Bookman Old Style" w:cs="Times New Roman"/>
          <w:color w:val="000000"/>
          <w:sz w:val="24"/>
          <w:szCs w:val="24"/>
          <w:lang w:eastAsia="es-CO"/>
        </w:rPr>
      </w:pPr>
    </w:p>
    <w:p w:rsidR="008124E9" w:rsidRPr="008124E9" w:rsidRDefault="008124E9" w:rsidP="008124E9">
      <w:pPr>
        <w:jc w:val="both"/>
        <w:rPr>
          <w:rFonts w:ascii="Bookman Old Style" w:eastAsia="Times New Roman" w:hAnsi="Bookman Old Style" w:cs="Times New Roman"/>
          <w:color w:val="000000"/>
          <w:sz w:val="24"/>
          <w:szCs w:val="24"/>
          <w:lang w:eastAsia="es-CO"/>
        </w:rPr>
      </w:pPr>
      <w:r w:rsidRPr="008124E9">
        <w:rPr>
          <w:rFonts w:ascii="Bookman Old Style" w:eastAsia="Times New Roman" w:hAnsi="Bookman Old Style" w:cs="Times New Roman"/>
          <w:color w:val="000000"/>
          <w:sz w:val="24"/>
          <w:szCs w:val="24"/>
          <w:lang w:eastAsia="es-CO"/>
        </w:rPr>
        <w:t xml:space="preserve">Asimismo, el artículo 6º ibidem precisa que la acción de tutela es improcedente, entre otros casos, cuando: (a) existan otros recursos o medios de defensa judiciales, salvo que aquélla se utilice como mecanismo </w:t>
      </w:r>
      <w:r w:rsidRPr="008124E9">
        <w:rPr>
          <w:rFonts w:ascii="Bookman Old Style" w:eastAsia="Times New Roman" w:hAnsi="Bookman Old Style" w:cs="Times New Roman"/>
          <w:color w:val="000000"/>
          <w:sz w:val="24"/>
          <w:szCs w:val="24"/>
          <w:lang w:eastAsia="es-CO"/>
        </w:rPr>
        <w:lastRenderedPageBreak/>
        <w:t>transitorio para evitar un perjuicio irremediable; o (b) Cuando se pretendan proteger derechos colectivos, tales como la paz y los demás mencionados en el artículo 88 de la Constitución Política.</w:t>
      </w:r>
    </w:p>
    <w:p w:rsidR="008124E9" w:rsidRPr="008124E9" w:rsidRDefault="008124E9" w:rsidP="008124E9">
      <w:pPr>
        <w:jc w:val="both"/>
        <w:rPr>
          <w:rFonts w:ascii="Bookman Old Style" w:eastAsia="Times New Roman" w:hAnsi="Bookman Old Style" w:cs="Times New Roman"/>
          <w:color w:val="000000"/>
          <w:sz w:val="24"/>
          <w:szCs w:val="24"/>
          <w:lang w:eastAsia="es-CO"/>
        </w:rPr>
      </w:pPr>
    </w:p>
    <w:p w:rsidR="008124E9" w:rsidRPr="008124E9" w:rsidRDefault="008124E9" w:rsidP="008124E9">
      <w:pPr>
        <w:jc w:val="both"/>
        <w:rPr>
          <w:rFonts w:ascii="Bookman Old Style" w:eastAsia="Times New Roman" w:hAnsi="Bookman Old Style" w:cs="Times New Roman"/>
          <w:color w:val="000000"/>
          <w:sz w:val="24"/>
          <w:szCs w:val="24"/>
          <w:lang w:eastAsia="es-CO"/>
        </w:rPr>
      </w:pPr>
      <w:r w:rsidRPr="008124E9">
        <w:rPr>
          <w:rFonts w:ascii="Bookman Old Style" w:eastAsia="Times New Roman" w:hAnsi="Bookman Old Style" w:cs="Times New Roman"/>
          <w:color w:val="000000"/>
          <w:sz w:val="24"/>
          <w:szCs w:val="24"/>
          <w:lang w:eastAsia="es-CO"/>
        </w:rPr>
        <w:t>Con base en lo anterior y en la jurisprudencia constitucional, los requisitos de procedencia de una acción de tutela son: (i) legitimación en la causa por activa, (ii) legitimación en la causa por pasiva, (iii) subsidiariedad, e (iv) inmediatez.</w:t>
      </w:r>
    </w:p>
    <w:p w:rsidR="008124E9" w:rsidRPr="008124E9" w:rsidRDefault="008124E9" w:rsidP="008124E9">
      <w:pPr>
        <w:jc w:val="both"/>
        <w:rPr>
          <w:rFonts w:ascii="Bookman Old Style" w:eastAsia="Times New Roman" w:hAnsi="Bookman Old Style" w:cs="Times New Roman"/>
          <w:color w:val="000000"/>
          <w:sz w:val="24"/>
          <w:szCs w:val="24"/>
          <w:lang w:eastAsia="es-CO"/>
        </w:rPr>
      </w:pPr>
    </w:p>
    <w:p w:rsidR="008124E9" w:rsidRPr="008124E9" w:rsidRDefault="008124E9" w:rsidP="008124E9">
      <w:pPr>
        <w:jc w:val="both"/>
        <w:rPr>
          <w:rFonts w:ascii="Bookman Old Style" w:eastAsia="Times New Roman" w:hAnsi="Bookman Old Style" w:cs="Times New Roman"/>
          <w:color w:val="000000"/>
          <w:sz w:val="24"/>
          <w:szCs w:val="24"/>
          <w:lang w:eastAsia="es-CO"/>
        </w:rPr>
      </w:pPr>
      <w:r w:rsidRPr="008124E9">
        <w:rPr>
          <w:rFonts w:ascii="Bookman Old Style" w:eastAsia="Times New Roman" w:hAnsi="Bookman Old Style" w:cs="Times New Roman"/>
          <w:color w:val="000000"/>
          <w:sz w:val="24"/>
          <w:szCs w:val="24"/>
          <w:lang w:eastAsia="es-CO"/>
        </w:rPr>
        <w:t>De conformidad con los términos en que se encuentra planteado el caso, la Sala de Conjueces procede a examinar si la acción de tutela cumple con los requisitos generales de procedencia y, de satisfacerlos, a formular y resolver los problemas jurídicos sustanciales del caso».</w:t>
      </w:r>
    </w:p>
    <w:p w:rsidR="008124E9" w:rsidRPr="008124E9" w:rsidRDefault="008124E9" w:rsidP="008124E9">
      <w:pPr>
        <w:jc w:val="both"/>
        <w:rPr>
          <w:rFonts w:ascii="Bookman Old Style" w:eastAsia="Times New Roman" w:hAnsi="Bookman Old Style" w:cs="Times New Roman"/>
          <w:color w:val="000000"/>
          <w:sz w:val="24"/>
          <w:szCs w:val="24"/>
          <w:lang w:eastAsia="es-CO"/>
        </w:rPr>
      </w:pPr>
    </w:p>
    <w:p w:rsidR="008124E9" w:rsidRPr="008124E9" w:rsidRDefault="008124E9" w:rsidP="008124E9">
      <w:pPr>
        <w:jc w:val="both"/>
        <w:rPr>
          <w:rFonts w:ascii="Bookman Old Style" w:eastAsia="Times New Roman" w:hAnsi="Bookman Old Style" w:cs="Times New Roman"/>
          <w:color w:val="000000"/>
          <w:sz w:val="24"/>
          <w:szCs w:val="24"/>
          <w:lang w:eastAsia="es-CO"/>
        </w:rPr>
      </w:pPr>
      <w:r w:rsidRPr="008124E9">
        <w:rPr>
          <w:rFonts w:ascii="Bookman Old Style" w:eastAsia="Times New Roman" w:hAnsi="Bookman Old Style" w:cs="Times New Roman"/>
          <w:b/>
          <w:bCs/>
          <w:color w:val="000000"/>
          <w:sz w:val="24"/>
          <w:szCs w:val="24"/>
          <w:lang w:eastAsia="es-CO"/>
        </w:rPr>
        <w:t>DERECHO CONSTITUCIONAL</w:t>
      </w:r>
      <w:r w:rsidRPr="008124E9">
        <w:rPr>
          <w:rFonts w:ascii="Bookman Old Style" w:eastAsia="Times New Roman" w:hAnsi="Bookman Old Style" w:cs="Times New Roman"/>
          <w:color w:val="000000"/>
          <w:sz w:val="24"/>
          <w:szCs w:val="24"/>
          <w:lang w:eastAsia="es-CO"/>
        </w:rPr>
        <w:t> - Acciones constitucionales - Acción de tutela - Legitimación en la causa por activa: noción</w:t>
      </w:r>
    </w:p>
    <w:p w:rsidR="008124E9" w:rsidRPr="008124E9" w:rsidRDefault="008124E9" w:rsidP="008124E9">
      <w:pPr>
        <w:jc w:val="both"/>
        <w:rPr>
          <w:rFonts w:ascii="Bookman Old Style" w:eastAsia="Times New Roman" w:hAnsi="Bookman Old Style" w:cs="Times New Roman"/>
          <w:color w:val="000000"/>
          <w:sz w:val="24"/>
          <w:szCs w:val="24"/>
          <w:lang w:eastAsia="es-CO"/>
        </w:rPr>
      </w:pPr>
    </w:p>
    <w:p w:rsidR="008124E9" w:rsidRPr="008124E9" w:rsidRDefault="008124E9" w:rsidP="008124E9">
      <w:pPr>
        <w:jc w:val="both"/>
        <w:rPr>
          <w:rFonts w:ascii="Bookman Old Style" w:eastAsia="Times New Roman" w:hAnsi="Bookman Old Style" w:cs="Times New Roman"/>
          <w:color w:val="000000"/>
          <w:sz w:val="24"/>
          <w:szCs w:val="24"/>
          <w:lang w:eastAsia="es-CO"/>
        </w:rPr>
      </w:pPr>
      <w:r w:rsidRPr="008124E9">
        <w:rPr>
          <w:rFonts w:ascii="Bookman Old Style" w:eastAsia="Times New Roman" w:hAnsi="Bookman Old Style" w:cs="Times New Roman"/>
          <w:b/>
          <w:bCs/>
          <w:color w:val="7D3B05"/>
          <w:sz w:val="24"/>
          <w:szCs w:val="24"/>
          <w:lang w:eastAsia="es-CO"/>
        </w:rPr>
        <w:t>Tesis:</w:t>
      </w:r>
    </w:p>
    <w:p w:rsidR="008124E9" w:rsidRPr="008124E9" w:rsidRDefault="008124E9" w:rsidP="008124E9">
      <w:pPr>
        <w:jc w:val="both"/>
        <w:rPr>
          <w:rFonts w:ascii="Bookman Old Style" w:eastAsia="Times New Roman" w:hAnsi="Bookman Old Style" w:cs="Times New Roman"/>
          <w:color w:val="000000"/>
          <w:sz w:val="24"/>
          <w:szCs w:val="24"/>
          <w:lang w:eastAsia="es-CO"/>
        </w:rPr>
      </w:pPr>
      <w:r w:rsidRPr="008124E9">
        <w:rPr>
          <w:rFonts w:ascii="Bookman Old Style" w:eastAsia="Times New Roman" w:hAnsi="Bookman Old Style" w:cs="Times New Roman"/>
          <w:color w:val="000000"/>
          <w:sz w:val="24"/>
          <w:szCs w:val="24"/>
          <w:lang w:eastAsia="es-CO"/>
        </w:rPr>
        <w:t>«La legitimación en la causa por activa se da cuando existe una vulneración real e inminente a algún derecho fundamental. En este caso, el accionante señala que su único propósito con esta acción es que la Corte Suprema de Justicia cumpla con el deber previsto en el artículo 249 superior y elija de forma inmediata al próximo Fiscal General de la Nación».</w:t>
      </w:r>
    </w:p>
    <w:p w:rsidR="008124E9" w:rsidRPr="008124E9" w:rsidRDefault="008124E9" w:rsidP="008124E9">
      <w:pPr>
        <w:jc w:val="both"/>
        <w:rPr>
          <w:rFonts w:ascii="Bookman Old Style" w:eastAsia="Times New Roman" w:hAnsi="Bookman Old Style" w:cs="Times New Roman"/>
          <w:color w:val="000000"/>
          <w:sz w:val="24"/>
          <w:szCs w:val="24"/>
          <w:lang w:eastAsia="es-CO"/>
        </w:rPr>
      </w:pPr>
    </w:p>
    <w:p w:rsidR="008124E9" w:rsidRPr="008124E9" w:rsidRDefault="008124E9" w:rsidP="008124E9">
      <w:pPr>
        <w:jc w:val="both"/>
        <w:rPr>
          <w:rFonts w:ascii="Bookman Old Style" w:eastAsia="Times New Roman" w:hAnsi="Bookman Old Style" w:cs="Times New Roman"/>
          <w:color w:val="000000"/>
          <w:sz w:val="24"/>
          <w:szCs w:val="24"/>
          <w:lang w:eastAsia="es-CO"/>
        </w:rPr>
      </w:pPr>
      <w:r w:rsidRPr="008124E9">
        <w:rPr>
          <w:rFonts w:ascii="Bookman Old Style" w:eastAsia="Times New Roman" w:hAnsi="Bookman Old Style" w:cs="Times New Roman"/>
          <w:b/>
          <w:bCs/>
          <w:color w:val="000000"/>
          <w:sz w:val="24"/>
          <w:szCs w:val="24"/>
          <w:lang w:eastAsia="es-CO"/>
        </w:rPr>
        <w:t>DERECHO A LA PAZ</w:t>
      </w:r>
      <w:r w:rsidRPr="008124E9">
        <w:rPr>
          <w:rFonts w:ascii="Bookman Old Style" w:eastAsia="Times New Roman" w:hAnsi="Bookman Old Style" w:cs="Times New Roman"/>
          <w:color w:val="000000"/>
          <w:sz w:val="24"/>
          <w:szCs w:val="24"/>
          <w:lang w:eastAsia="es-CO"/>
        </w:rPr>
        <w:t> - Dimensiones: distinción jurisprudencial entre la dimensión colectiva y la dimensión individual (c. j.)</w:t>
      </w:r>
    </w:p>
    <w:p w:rsidR="008124E9" w:rsidRPr="008124E9" w:rsidRDefault="008124E9" w:rsidP="008124E9">
      <w:pPr>
        <w:jc w:val="both"/>
        <w:rPr>
          <w:rFonts w:ascii="Bookman Old Style" w:eastAsia="Times New Roman" w:hAnsi="Bookman Old Style" w:cs="Times New Roman"/>
          <w:color w:val="000000"/>
          <w:sz w:val="24"/>
          <w:szCs w:val="24"/>
          <w:lang w:eastAsia="es-CO"/>
        </w:rPr>
      </w:pPr>
    </w:p>
    <w:p w:rsidR="008124E9" w:rsidRPr="008124E9" w:rsidRDefault="008124E9" w:rsidP="008124E9">
      <w:pPr>
        <w:jc w:val="both"/>
        <w:rPr>
          <w:rFonts w:ascii="Bookman Old Style" w:eastAsia="Times New Roman" w:hAnsi="Bookman Old Style" w:cs="Times New Roman"/>
          <w:color w:val="000000"/>
          <w:sz w:val="24"/>
          <w:szCs w:val="24"/>
          <w:lang w:eastAsia="es-CO"/>
        </w:rPr>
      </w:pPr>
      <w:r w:rsidRPr="008124E9">
        <w:rPr>
          <w:rFonts w:ascii="Bookman Old Style" w:eastAsia="Times New Roman" w:hAnsi="Bookman Old Style" w:cs="Times New Roman"/>
          <w:b/>
          <w:bCs/>
          <w:color w:val="000000"/>
          <w:sz w:val="24"/>
          <w:szCs w:val="24"/>
          <w:lang w:eastAsia="es-CO"/>
        </w:rPr>
        <w:t>ACCIÓN DE TUTELA</w:t>
      </w:r>
      <w:r w:rsidRPr="008124E9">
        <w:rPr>
          <w:rFonts w:ascii="Bookman Old Style" w:eastAsia="Times New Roman" w:hAnsi="Bookman Old Style" w:cs="Times New Roman"/>
          <w:color w:val="000000"/>
          <w:sz w:val="24"/>
          <w:szCs w:val="24"/>
          <w:lang w:eastAsia="es-CO"/>
        </w:rPr>
        <w:t> - Improcedencia de la acción para proteger la dimensión colectiva del derecho a la paz</w:t>
      </w:r>
    </w:p>
    <w:p w:rsidR="008124E9" w:rsidRPr="008124E9" w:rsidRDefault="008124E9" w:rsidP="008124E9">
      <w:pPr>
        <w:jc w:val="both"/>
        <w:rPr>
          <w:rFonts w:ascii="Bookman Old Style" w:eastAsia="Times New Roman" w:hAnsi="Bookman Old Style" w:cs="Times New Roman"/>
          <w:color w:val="000000"/>
          <w:sz w:val="24"/>
          <w:szCs w:val="24"/>
          <w:lang w:eastAsia="es-CO"/>
        </w:rPr>
      </w:pPr>
    </w:p>
    <w:p w:rsidR="008124E9" w:rsidRPr="008124E9" w:rsidRDefault="008124E9" w:rsidP="008124E9">
      <w:pPr>
        <w:jc w:val="both"/>
        <w:rPr>
          <w:rFonts w:ascii="Bookman Old Style" w:eastAsia="Times New Roman" w:hAnsi="Bookman Old Style" w:cs="Times New Roman"/>
          <w:color w:val="000000"/>
          <w:sz w:val="24"/>
          <w:szCs w:val="24"/>
          <w:lang w:eastAsia="es-CO"/>
        </w:rPr>
      </w:pPr>
      <w:r w:rsidRPr="008124E9">
        <w:rPr>
          <w:rFonts w:ascii="Bookman Old Style" w:eastAsia="Times New Roman" w:hAnsi="Bookman Old Style" w:cs="Times New Roman"/>
          <w:b/>
          <w:bCs/>
          <w:color w:val="000000"/>
          <w:sz w:val="24"/>
          <w:szCs w:val="24"/>
          <w:lang w:eastAsia="es-CO"/>
        </w:rPr>
        <w:t>ACCIÓN DE TUTELA</w:t>
      </w:r>
      <w:r w:rsidRPr="008124E9">
        <w:rPr>
          <w:rFonts w:ascii="Bookman Old Style" w:eastAsia="Times New Roman" w:hAnsi="Bookman Old Style" w:cs="Times New Roman"/>
          <w:color w:val="000000"/>
          <w:sz w:val="24"/>
          <w:szCs w:val="24"/>
          <w:lang w:eastAsia="es-CO"/>
        </w:rPr>
        <w:t> - Improcedencia de la acción para proteger la dimensión individual del derecho a la paz, puesto que el accionante no demostró cómo la falta de elección de fiscal general de la Nación afecta sustancialmente de forma directa, precisa y clara dicha dimensión</w:t>
      </w:r>
    </w:p>
    <w:p w:rsidR="008124E9" w:rsidRPr="008124E9" w:rsidRDefault="008124E9" w:rsidP="008124E9">
      <w:pPr>
        <w:jc w:val="both"/>
        <w:rPr>
          <w:rFonts w:ascii="Bookman Old Style" w:eastAsia="Times New Roman" w:hAnsi="Bookman Old Style" w:cs="Times New Roman"/>
          <w:color w:val="000000"/>
          <w:sz w:val="24"/>
          <w:szCs w:val="24"/>
          <w:lang w:eastAsia="es-CO"/>
        </w:rPr>
      </w:pPr>
    </w:p>
    <w:p w:rsidR="008124E9" w:rsidRPr="008124E9" w:rsidRDefault="008124E9" w:rsidP="008124E9">
      <w:pPr>
        <w:jc w:val="both"/>
        <w:rPr>
          <w:rFonts w:ascii="Bookman Old Style" w:eastAsia="Times New Roman" w:hAnsi="Bookman Old Style" w:cs="Times New Roman"/>
          <w:color w:val="000000"/>
          <w:sz w:val="24"/>
          <w:szCs w:val="24"/>
          <w:lang w:eastAsia="es-CO"/>
        </w:rPr>
      </w:pPr>
      <w:r w:rsidRPr="008124E9">
        <w:rPr>
          <w:rFonts w:ascii="Bookman Old Style" w:eastAsia="Times New Roman" w:hAnsi="Bookman Old Style" w:cs="Times New Roman"/>
          <w:b/>
          <w:bCs/>
          <w:color w:val="7D3B05"/>
          <w:sz w:val="24"/>
          <w:szCs w:val="24"/>
          <w:lang w:eastAsia="es-CO"/>
        </w:rPr>
        <w:t>Tesis:</w:t>
      </w:r>
    </w:p>
    <w:p w:rsidR="008124E9" w:rsidRPr="008124E9" w:rsidRDefault="008124E9" w:rsidP="008124E9">
      <w:pPr>
        <w:jc w:val="both"/>
        <w:rPr>
          <w:rFonts w:ascii="Bookman Old Style" w:eastAsia="Times New Roman" w:hAnsi="Bookman Old Style" w:cs="Times New Roman"/>
          <w:color w:val="000000"/>
          <w:sz w:val="24"/>
          <w:szCs w:val="24"/>
          <w:lang w:eastAsia="es-CO"/>
        </w:rPr>
      </w:pPr>
      <w:r w:rsidRPr="008124E9">
        <w:rPr>
          <w:rFonts w:ascii="Bookman Old Style" w:eastAsia="Times New Roman" w:hAnsi="Bookman Old Style" w:cs="Times New Roman"/>
          <w:color w:val="000000"/>
          <w:sz w:val="24"/>
          <w:szCs w:val="24"/>
          <w:lang w:eastAsia="es-CO"/>
        </w:rPr>
        <w:t>«En relación con el derecho a la paz, la Corte Constitucional ha planteado una distinción jurisprudencial entre la dimensión colectiva y la dimensión individual que componen el derecho. La dimensión colectiva se ha entendido como: "un derecho de “tercera generación”, cuya satisfacción depende de diferentes factores “sociales, políticos, económicos e ideológicos que, recíprocamente se le pueden exigir sin que se haga realidad por su naturaleza concursal o solidaria”.</w:t>
      </w:r>
    </w:p>
    <w:p w:rsidR="008124E9" w:rsidRPr="008124E9" w:rsidRDefault="008124E9" w:rsidP="008124E9">
      <w:pPr>
        <w:jc w:val="both"/>
        <w:rPr>
          <w:rFonts w:ascii="Bookman Old Style" w:eastAsia="Times New Roman" w:hAnsi="Bookman Old Style" w:cs="Times New Roman"/>
          <w:color w:val="000000"/>
          <w:sz w:val="24"/>
          <w:szCs w:val="24"/>
          <w:lang w:eastAsia="es-CO"/>
        </w:rPr>
      </w:pPr>
    </w:p>
    <w:p w:rsidR="008124E9" w:rsidRPr="008124E9" w:rsidRDefault="008124E9" w:rsidP="008124E9">
      <w:pPr>
        <w:jc w:val="both"/>
        <w:rPr>
          <w:rFonts w:ascii="Bookman Old Style" w:eastAsia="Times New Roman" w:hAnsi="Bookman Old Style" w:cs="Times New Roman"/>
          <w:color w:val="000000"/>
          <w:sz w:val="24"/>
          <w:szCs w:val="24"/>
          <w:lang w:eastAsia="es-CO"/>
        </w:rPr>
      </w:pPr>
      <w:r w:rsidRPr="008124E9">
        <w:rPr>
          <w:rFonts w:ascii="Bookman Old Style" w:eastAsia="Times New Roman" w:hAnsi="Bookman Old Style" w:cs="Times New Roman"/>
          <w:color w:val="000000"/>
          <w:sz w:val="24"/>
          <w:szCs w:val="24"/>
          <w:lang w:eastAsia="es-CO"/>
        </w:rPr>
        <w:t>Lo anterior se contrasta con la dimensión individual del derecho a la paz, entendida a partir de la reiteración de las sentencias de la Corte Constitucional T-102 de 2003 y C-370 de 2006:</w:t>
      </w:r>
    </w:p>
    <w:p w:rsidR="008124E9" w:rsidRPr="008124E9" w:rsidRDefault="008124E9" w:rsidP="008124E9">
      <w:pPr>
        <w:jc w:val="both"/>
        <w:rPr>
          <w:rFonts w:ascii="Bookman Old Style" w:eastAsia="Times New Roman" w:hAnsi="Bookman Old Style" w:cs="Times New Roman"/>
          <w:color w:val="000000"/>
          <w:sz w:val="24"/>
          <w:szCs w:val="24"/>
          <w:lang w:eastAsia="es-CO"/>
        </w:rPr>
      </w:pPr>
    </w:p>
    <w:p w:rsidR="008124E9" w:rsidRPr="008124E9" w:rsidRDefault="008124E9" w:rsidP="008124E9">
      <w:pPr>
        <w:jc w:val="both"/>
        <w:rPr>
          <w:rFonts w:ascii="Bookman Old Style" w:eastAsia="Times New Roman" w:hAnsi="Bookman Old Style" w:cs="Times New Roman"/>
          <w:color w:val="000000"/>
          <w:sz w:val="24"/>
          <w:szCs w:val="24"/>
          <w:lang w:eastAsia="es-CO"/>
        </w:rPr>
      </w:pPr>
      <w:r w:rsidRPr="008124E9">
        <w:rPr>
          <w:rFonts w:ascii="Bookman Old Style" w:eastAsia="Times New Roman" w:hAnsi="Bookman Old Style" w:cs="Times New Roman"/>
          <w:color w:val="000000"/>
          <w:sz w:val="24"/>
          <w:szCs w:val="24"/>
          <w:lang w:eastAsia="es-CO"/>
        </w:rPr>
        <w:t xml:space="preserve">“Como derecho que pertenece a toda persona, implica para cada miembro de la comunidad, entre otros derechos, el de vivir en una sociedad que excluya la violencia como medio de solución de conflictos, el de impedir o denunciar la ejecución de hechos violatorios de los derechos humanos y el de estar protegido contra todo acto de arbitrariedad, violencia o terrorismo. La convivencia pacífica es un fin básico del Estado y ha de ser el móvil último de las fuerzas del orden constitucional. La paz es, además, presupuesto del </w:t>
      </w:r>
      <w:r w:rsidRPr="008124E9">
        <w:rPr>
          <w:rFonts w:ascii="Bookman Old Style" w:eastAsia="Times New Roman" w:hAnsi="Bookman Old Style" w:cs="Times New Roman"/>
          <w:color w:val="000000"/>
          <w:sz w:val="24"/>
          <w:szCs w:val="24"/>
          <w:lang w:eastAsia="es-CO"/>
        </w:rPr>
        <w:lastRenderedPageBreak/>
        <w:t>proceso democrático, libre y abierto, y condición necesaria para el goce efectivo de los derechos fundamentales”.</w:t>
      </w:r>
    </w:p>
    <w:p w:rsidR="008124E9" w:rsidRPr="008124E9" w:rsidRDefault="008124E9" w:rsidP="008124E9">
      <w:pPr>
        <w:jc w:val="both"/>
        <w:rPr>
          <w:rFonts w:ascii="Bookman Old Style" w:eastAsia="Times New Roman" w:hAnsi="Bookman Old Style" w:cs="Times New Roman"/>
          <w:color w:val="000000"/>
          <w:sz w:val="24"/>
          <w:szCs w:val="24"/>
          <w:lang w:eastAsia="es-CO"/>
        </w:rPr>
      </w:pPr>
    </w:p>
    <w:p w:rsidR="008124E9" w:rsidRPr="008124E9" w:rsidRDefault="008124E9" w:rsidP="008124E9">
      <w:pPr>
        <w:jc w:val="both"/>
        <w:rPr>
          <w:rFonts w:ascii="Bookman Old Style" w:eastAsia="Times New Roman" w:hAnsi="Bookman Old Style" w:cs="Times New Roman"/>
          <w:color w:val="000000"/>
          <w:sz w:val="24"/>
          <w:szCs w:val="24"/>
          <w:lang w:eastAsia="es-CO"/>
        </w:rPr>
      </w:pPr>
      <w:r w:rsidRPr="008124E9">
        <w:rPr>
          <w:rFonts w:ascii="Bookman Old Style" w:eastAsia="Times New Roman" w:hAnsi="Bookman Old Style" w:cs="Times New Roman"/>
          <w:color w:val="000000"/>
          <w:sz w:val="24"/>
          <w:szCs w:val="24"/>
          <w:lang w:eastAsia="es-CO"/>
        </w:rPr>
        <w:t>Frente a aquella distinción, la acción objeto de este pronunciamiento, si bien menciona el derecho a la paz del accionante y el derecho a la paz de todos los colombianos, no expone con claridad frente a qué dimensión del derecho a la paz alega una eventual vulneración. Ante la ausencia de esta manifestación expresa en la presente tutela y a partir de un análisis de la demanda presentada, todo indica que los argumentos de la presente acción están encaminados a buscar la protección a la dimensión colectiva de la paz.</w:t>
      </w:r>
    </w:p>
    <w:p w:rsidR="008124E9" w:rsidRPr="008124E9" w:rsidRDefault="008124E9" w:rsidP="008124E9">
      <w:pPr>
        <w:jc w:val="both"/>
        <w:rPr>
          <w:rFonts w:ascii="Bookman Old Style" w:eastAsia="Times New Roman" w:hAnsi="Bookman Old Style" w:cs="Times New Roman"/>
          <w:color w:val="000000"/>
          <w:sz w:val="24"/>
          <w:szCs w:val="24"/>
          <w:lang w:eastAsia="es-CO"/>
        </w:rPr>
      </w:pPr>
    </w:p>
    <w:p w:rsidR="008124E9" w:rsidRPr="008124E9" w:rsidRDefault="008124E9" w:rsidP="008124E9">
      <w:pPr>
        <w:jc w:val="both"/>
        <w:rPr>
          <w:rFonts w:ascii="Bookman Old Style" w:eastAsia="Times New Roman" w:hAnsi="Bookman Old Style" w:cs="Times New Roman"/>
          <w:color w:val="000000"/>
          <w:sz w:val="24"/>
          <w:szCs w:val="24"/>
          <w:lang w:eastAsia="es-CO"/>
        </w:rPr>
      </w:pPr>
      <w:r w:rsidRPr="008124E9">
        <w:rPr>
          <w:rFonts w:ascii="Bookman Old Style" w:eastAsia="Times New Roman" w:hAnsi="Bookman Old Style" w:cs="Times New Roman"/>
          <w:color w:val="000000"/>
          <w:sz w:val="24"/>
          <w:szCs w:val="24"/>
          <w:lang w:eastAsia="es-CO"/>
        </w:rPr>
        <w:t>En tal hipótesis, tratándose de una pretensión fundada en una aparente vulneración a la dimensión colectiva, se estaría incurriendo en una causal de improcedencia de la acción de tutela establecida en el artículo 6° del Decreto 2591 de 1991. Pues, toda vez que “se pretenda proteger derechos colectivos, tales como la paz y los demás mencionados en el artículo 88 de la Constitución Política” no es procedente el amparo (énfasis fuera de texto), salvo por razones de conexidad.</w:t>
      </w:r>
    </w:p>
    <w:p w:rsidR="008124E9" w:rsidRPr="008124E9" w:rsidRDefault="008124E9" w:rsidP="008124E9">
      <w:pPr>
        <w:jc w:val="both"/>
        <w:rPr>
          <w:rFonts w:ascii="Bookman Old Style" w:eastAsia="Times New Roman" w:hAnsi="Bookman Old Style" w:cs="Times New Roman"/>
          <w:color w:val="000000"/>
          <w:sz w:val="24"/>
          <w:szCs w:val="24"/>
          <w:lang w:eastAsia="es-CO"/>
        </w:rPr>
      </w:pPr>
    </w:p>
    <w:p w:rsidR="008124E9" w:rsidRPr="008124E9" w:rsidRDefault="008124E9" w:rsidP="008124E9">
      <w:pPr>
        <w:jc w:val="both"/>
        <w:rPr>
          <w:rFonts w:ascii="Bookman Old Style" w:eastAsia="Times New Roman" w:hAnsi="Bookman Old Style" w:cs="Times New Roman"/>
          <w:color w:val="000000"/>
          <w:sz w:val="24"/>
          <w:szCs w:val="24"/>
          <w:lang w:eastAsia="es-CO"/>
        </w:rPr>
      </w:pPr>
      <w:r w:rsidRPr="008124E9">
        <w:rPr>
          <w:rFonts w:ascii="Bookman Old Style" w:eastAsia="Times New Roman" w:hAnsi="Bookman Old Style" w:cs="Times New Roman"/>
          <w:color w:val="000000"/>
          <w:sz w:val="24"/>
          <w:szCs w:val="24"/>
          <w:lang w:eastAsia="es-CO"/>
        </w:rPr>
        <w:t>A su turno, en caso tal de que se tratara de una acción encaminada a la protección de la dimensión individual del derecho a la paz, el accionante no acredita cómo la no designación en tiempo oportuno de un Fiscal General de la Nación o la designación de un Fiscal Encargado por parte de la Corte Suprema de Justicia, afecta sustancialmente de forma directa, precisa y clara esa dimensión individual. Es decir, que, ante la ausencia de justificación explícita del accionante, no es posible extraer cómo del caso expuesto se evidencia una lesión constitucionalmente relevante para el particular a título individual de sus derechos fundamentales. Por lo que, bajo esta dimensión del derecho a la paz, el amparo resulta también improcedente».</w:t>
      </w:r>
    </w:p>
    <w:p w:rsidR="008124E9" w:rsidRPr="008124E9" w:rsidRDefault="008124E9" w:rsidP="008124E9">
      <w:pPr>
        <w:jc w:val="both"/>
        <w:rPr>
          <w:rFonts w:ascii="Bookman Old Style" w:eastAsia="Times New Roman" w:hAnsi="Bookman Old Style" w:cs="Times New Roman"/>
          <w:color w:val="000000"/>
          <w:sz w:val="24"/>
          <w:szCs w:val="24"/>
          <w:lang w:eastAsia="es-CO"/>
        </w:rPr>
      </w:pPr>
    </w:p>
    <w:p w:rsidR="008124E9" w:rsidRPr="008124E9" w:rsidRDefault="008124E9" w:rsidP="008124E9">
      <w:pPr>
        <w:jc w:val="both"/>
        <w:rPr>
          <w:rFonts w:ascii="Bookman Old Style" w:eastAsia="Times New Roman" w:hAnsi="Bookman Old Style" w:cs="Times New Roman"/>
          <w:color w:val="000000"/>
          <w:sz w:val="24"/>
          <w:szCs w:val="24"/>
          <w:lang w:eastAsia="es-CO"/>
        </w:rPr>
      </w:pPr>
      <w:r w:rsidRPr="008124E9">
        <w:rPr>
          <w:rFonts w:ascii="Bookman Old Style" w:eastAsia="Times New Roman" w:hAnsi="Bookman Old Style" w:cs="Times New Roman"/>
          <w:b/>
          <w:bCs/>
          <w:color w:val="000000"/>
          <w:sz w:val="24"/>
          <w:szCs w:val="24"/>
          <w:lang w:eastAsia="es-CO"/>
        </w:rPr>
        <w:t>ACCIÓN DE TUTELA</w:t>
      </w:r>
      <w:r w:rsidRPr="008124E9">
        <w:rPr>
          <w:rFonts w:ascii="Bookman Old Style" w:eastAsia="Times New Roman" w:hAnsi="Bookman Old Style" w:cs="Times New Roman"/>
          <w:color w:val="000000"/>
          <w:sz w:val="24"/>
          <w:szCs w:val="24"/>
          <w:lang w:eastAsia="es-CO"/>
        </w:rPr>
        <w:t> - Falta de fundamento de la acción, como quiera que se solicita la protección de conceptos e intereses generales y abstractos, como el derecho a reclamar el buen nombre del país</w:t>
      </w:r>
    </w:p>
    <w:p w:rsidR="008124E9" w:rsidRPr="008124E9" w:rsidRDefault="008124E9" w:rsidP="008124E9">
      <w:pPr>
        <w:jc w:val="both"/>
        <w:rPr>
          <w:rFonts w:ascii="Bookman Old Style" w:eastAsia="Times New Roman" w:hAnsi="Bookman Old Style" w:cs="Times New Roman"/>
          <w:color w:val="000000"/>
          <w:sz w:val="24"/>
          <w:szCs w:val="24"/>
          <w:lang w:eastAsia="es-CO"/>
        </w:rPr>
      </w:pPr>
    </w:p>
    <w:p w:rsidR="008124E9" w:rsidRPr="008124E9" w:rsidRDefault="008124E9" w:rsidP="008124E9">
      <w:pPr>
        <w:jc w:val="both"/>
        <w:rPr>
          <w:rFonts w:ascii="Bookman Old Style" w:eastAsia="Times New Roman" w:hAnsi="Bookman Old Style" w:cs="Times New Roman"/>
          <w:color w:val="000000"/>
          <w:sz w:val="24"/>
          <w:szCs w:val="24"/>
          <w:lang w:eastAsia="es-CO"/>
        </w:rPr>
      </w:pPr>
      <w:r w:rsidRPr="008124E9">
        <w:rPr>
          <w:rFonts w:ascii="Bookman Old Style" w:eastAsia="Times New Roman" w:hAnsi="Bookman Old Style" w:cs="Times New Roman"/>
          <w:b/>
          <w:bCs/>
          <w:color w:val="7D3B05"/>
          <w:sz w:val="24"/>
          <w:szCs w:val="24"/>
          <w:lang w:eastAsia="es-CO"/>
        </w:rPr>
        <w:t>Tesis:</w:t>
      </w:r>
    </w:p>
    <w:p w:rsidR="008124E9" w:rsidRPr="008124E9" w:rsidRDefault="008124E9" w:rsidP="008124E9">
      <w:pPr>
        <w:jc w:val="both"/>
        <w:rPr>
          <w:rFonts w:ascii="Bookman Old Style" w:eastAsia="Times New Roman" w:hAnsi="Bookman Old Style" w:cs="Times New Roman"/>
          <w:color w:val="000000"/>
          <w:sz w:val="24"/>
          <w:szCs w:val="24"/>
          <w:lang w:eastAsia="es-CO"/>
        </w:rPr>
      </w:pPr>
      <w:r w:rsidRPr="008124E9">
        <w:rPr>
          <w:rFonts w:ascii="Bookman Old Style" w:eastAsia="Times New Roman" w:hAnsi="Bookman Old Style" w:cs="Times New Roman"/>
          <w:color w:val="000000"/>
          <w:sz w:val="24"/>
          <w:szCs w:val="24"/>
          <w:lang w:eastAsia="es-CO"/>
        </w:rPr>
        <w:t>«(...) el demandante hace referencia a normas, conceptos e intereses generales y abstractos como el “derecho a reclamar el buen nombre de mi país”, evitar el desprestigio de las instituciones o el incremento de la criminalidad. De manera, la presente demanda no plantea de forma adecuada los derechos fundamentales que el actor busca proteger con la intervención del juez constitucional».</w:t>
      </w:r>
    </w:p>
    <w:p w:rsidR="008124E9" w:rsidRPr="008124E9" w:rsidRDefault="008124E9" w:rsidP="008124E9">
      <w:pPr>
        <w:jc w:val="both"/>
        <w:rPr>
          <w:rFonts w:ascii="Bookman Old Style" w:eastAsia="Times New Roman" w:hAnsi="Bookman Old Style" w:cs="Times New Roman"/>
          <w:color w:val="000000"/>
          <w:sz w:val="24"/>
          <w:szCs w:val="24"/>
          <w:lang w:eastAsia="es-CO"/>
        </w:rPr>
      </w:pPr>
    </w:p>
    <w:p w:rsidR="008124E9" w:rsidRPr="008124E9" w:rsidRDefault="008124E9" w:rsidP="008124E9">
      <w:pPr>
        <w:jc w:val="both"/>
        <w:rPr>
          <w:rFonts w:ascii="Bookman Old Style" w:eastAsia="Times New Roman" w:hAnsi="Bookman Old Style" w:cs="Times New Roman"/>
          <w:color w:val="000000"/>
          <w:sz w:val="24"/>
          <w:szCs w:val="24"/>
          <w:lang w:eastAsia="es-CO"/>
        </w:rPr>
      </w:pPr>
      <w:r w:rsidRPr="008124E9">
        <w:rPr>
          <w:rFonts w:ascii="Bookman Old Style" w:eastAsia="Times New Roman" w:hAnsi="Bookman Old Style" w:cs="Times New Roman"/>
          <w:b/>
          <w:bCs/>
          <w:color w:val="000000"/>
          <w:sz w:val="24"/>
          <w:szCs w:val="24"/>
          <w:lang w:eastAsia="es-CO"/>
        </w:rPr>
        <w:t>ACCIÓN DE TUTELA</w:t>
      </w:r>
      <w:r w:rsidRPr="008124E9">
        <w:rPr>
          <w:rFonts w:ascii="Bookman Old Style" w:eastAsia="Times New Roman" w:hAnsi="Bookman Old Style" w:cs="Times New Roman"/>
          <w:color w:val="000000"/>
          <w:sz w:val="24"/>
          <w:szCs w:val="24"/>
          <w:lang w:eastAsia="es-CO"/>
        </w:rPr>
        <w:t> - Falta de fundamento de la acción al no haberse demostrado la posible existencia de perjuicios inminentes e irreversibles por la falta de elección de fiscal general de la Nación</w:t>
      </w:r>
    </w:p>
    <w:p w:rsidR="008124E9" w:rsidRPr="008124E9" w:rsidRDefault="008124E9" w:rsidP="008124E9">
      <w:pPr>
        <w:jc w:val="both"/>
        <w:rPr>
          <w:rFonts w:ascii="Bookman Old Style" w:eastAsia="Times New Roman" w:hAnsi="Bookman Old Style" w:cs="Times New Roman"/>
          <w:color w:val="000000"/>
          <w:sz w:val="24"/>
          <w:szCs w:val="24"/>
          <w:lang w:eastAsia="es-CO"/>
        </w:rPr>
      </w:pPr>
    </w:p>
    <w:p w:rsidR="008124E9" w:rsidRPr="008124E9" w:rsidRDefault="008124E9" w:rsidP="008124E9">
      <w:pPr>
        <w:jc w:val="both"/>
        <w:rPr>
          <w:rFonts w:ascii="Bookman Old Style" w:eastAsia="Times New Roman" w:hAnsi="Bookman Old Style" w:cs="Times New Roman"/>
          <w:color w:val="000000"/>
          <w:sz w:val="24"/>
          <w:szCs w:val="24"/>
          <w:lang w:eastAsia="es-CO"/>
        </w:rPr>
      </w:pPr>
      <w:r w:rsidRPr="008124E9">
        <w:rPr>
          <w:rFonts w:ascii="Bookman Old Style" w:eastAsia="Times New Roman" w:hAnsi="Bookman Old Style" w:cs="Times New Roman"/>
          <w:b/>
          <w:bCs/>
          <w:color w:val="000000"/>
          <w:sz w:val="24"/>
          <w:szCs w:val="24"/>
          <w:lang w:eastAsia="es-CO"/>
        </w:rPr>
        <w:t>ACCIÓN DE TUTELA</w:t>
      </w:r>
      <w:r w:rsidRPr="008124E9">
        <w:rPr>
          <w:rFonts w:ascii="Bookman Old Style" w:eastAsia="Times New Roman" w:hAnsi="Bookman Old Style" w:cs="Times New Roman"/>
          <w:color w:val="000000"/>
          <w:sz w:val="24"/>
          <w:szCs w:val="24"/>
          <w:lang w:eastAsia="es-CO"/>
        </w:rPr>
        <w:t> - Falta de fundamento objetivo de la acción al no haberse planteado adecuadamente los derechos fundamentales que se buscan proteger</w:t>
      </w:r>
    </w:p>
    <w:p w:rsidR="008124E9" w:rsidRPr="008124E9" w:rsidRDefault="008124E9" w:rsidP="008124E9">
      <w:pPr>
        <w:jc w:val="both"/>
        <w:rPr>
          <w:rFonts w:ascii="Bookman Old Style" w:eastAsia="Times New Roman" w:hAnsi="Bookman Old Style" w:cs="Times New Roman"/>
          <w:color w:val="000000"/>
          <w:sz w:val="24"/>
          <w:szCs w:val="24"/>
          <w:lang w:eastAsia="es-CO"/>
        </w:rPr>
      </w:pPr>
    </w:p>
    <w:p w:rsidR="008124E9" w:rsidRPr="008124E9" w:rsidRDefault="008124E9" w:rsidP="008124E9">
      <w:pPr>
        <w:jc w:val="both"/>
        <w:rPr>
          <w:rFonts w:ascii="Bookman Old Style" w:eastAsia="Times New Roman" w:hAnsi="Bookman Old Style" w:cs="Times New Roman"/>
          <w:color w:val="000000"/>
          <w:sz w:val="24"/>
          <w:szCs w:val="24"/>
          <w:lang w:eastAsia="es-CO"/>
        </w:rPr>
      </w:pPr>
      <w:r w:rsidRPr="008124E9">
        <w:rPr>
          <w:rFonts w:ascii="Bookman Old Style" w:eastAsia="Times New Roman" w:hAnsi="Bookman Old Style" w:cs="Times New Roman"/>
          <w:b/>
          <w:bCs/>
          <w:color w:val="7D3B05"/>
          <w:sz w:val="24"/>
          <w:szCs w:val="24"/>
          <w:lang w:eastAsia="es-CO"/>
        </w:rPr>
        <w:t>Tesis:</w:t>
      </w:r>
    </w:p>
    <w:p w:rsidR="008124E9" w:rsidRPr="008124E9" w:rsidRDefault="008124E9" w:rsidP="008124E9">
      <w:pPr>
        <w:jc w:val="both"/>
        <w:rPr>
          <w:rFonts w:ascii="Bookman Old Style" w:eastAsia="Times New Roman" w:hAnsi="Bookman Old Style" w:cs="Times New Roman"/>
          <w:color w:val="000000"/>
          <w:sz w:val="24"/>
          <w:szCs w:val="24"/>
          <w:lang w:eastAsia="es-CO"/>
        </w:rPr>
      </w:pPr>
      <w:r w:rsidRPr="008124E9">
        <w:rPr>
          <w:rFonts w:ascii="Bookman Old Style" w:eastAsia="Times New Roman" w:hAnsi="Bookman Old Style" w:cs="Times New Roman"/>
          <w:color w:val="000000"/>
          <w:sz w:val="24"/>
          <w:szCs w:val="24"/>
          <w:lang w:eastAsia="es-CO"/>
        </w:rPr>
        <w:t xml:space="preserve">«(...) la acción de tutela analizada plantea dos aspectos problemáticos: de un lado, la demanda de tutela no plantea ni sustenta de forma precisa y cierta la posible existencia de perjuicios inminentes e irreversibles que puedan producirse con la continuidad del proceso de elección del Fiscal General de </w:t>
      </w:r>
      <w:r w:rsidRPr="008124E9">
        <w:rPr>
          <w:rFonts w:ascii="Bookman Old Style" w:eastAsia="Times New Roman" w:hAnsi="Bookman Old Style" w:cs="Times New Roman"/>
          <w:color w:val="000000"/>
          <w:sz w:val="24"/>
          <w:szCs w:val="24"/>
          <w:lang w:eastAsia="es-CO"/>
        </w:rPr>
        <w:lastRenderedPageBreak/>
        <w:t>la Nación; esto, frente a los derechos fundamentales del demandante. A lo sumo, se indica que la falta de elección del Fiscal General en propiedad “es inconveniente para nuestro país”. Advierte que “El único propósito de este director de una fundación y periodista, que defiende los derechos de mi comunidad, ES QUE SE CUMPLA LA CONSTITUCIÓN y esto no se puede ver como una PRESIÓN INDEBIDA, a la Honorable Corte, todo lo contrario, esta demanda, debe verse como un acto altruista de un ciudadano, por el respeto de nuestras instituciones” (énfasis propio).</w:t>
      </w:r>
    </w:p>
    <w:p w:rsidR="008124E9" w:rsidRPr="008124E9" w:rsidRDefault="008124E9" w:rsidP="008124E9">
      <w:pPr>
        <w:jc w:val="both"/>
        <w:rPr>
          <w:rFonts w:ascii="Bookman Old Style" w:eastAsia="Times New Roman" w:hAnsi="Bookman Old Style" w:cs="Times New Roman"/>
          <w:color w:val="000000"/>
          <w:sz w:val="24"/>
          <w:szCs w:val="24"/>
          <w:lang w:eastAsia="es-CO"/>
        </w:rPr>
      </w:pPr>
    </w:p>
    <w:p w:rsidR="008124E9" w:rsidRPr="008124E9" w:rsidRDefault="008124E9" w:rsidP="008124E9">
      <w:pPr>
        <w:jc w:val="both"/>
        <w:rPr>
          <w:rFonts w:ascii="Bookman Old Style" w:eastAsia="Times New Roman" w:hAnsi="Bookman Old Style" w:cs="Times New Roman"/>
          <w:color w:val="000000"/>
          <w:sz w:val="24"/>
          <w:szCs w:val="24"/>
          <w:lang w:eastAsia="es-CO"/>
        </w:rPr>
      </w:pPr>
      <w:r w:rsidRPr="008124E9">
        <w:rPr>
          <w:rFonts w:ascii="Bookman Old Style" w:eastAsia="Times New Roman" w:hAnsi="Bookman Old Style" w:cs="Times New Roman"/>
          <w:color w:val="000000"/>
          <w:sz w:val="24"/>
          <w:szCs w:val="24"/>
          <w:lang w:eastAsia="es-CO"/>
        </w:rPr>
        <w:t>Agrega que la omisión en la elección del Fiscal General puede afectar ciertas investigaciones judiciales de carácter penal o causar el desprestigio de las instituciones del país. Aspectos sobre los cuales no se brinda ninguna certeza sobre la existencia del perjuicio irremediable».</w:t>
      </w:r>
    </w:p>
    <w:p w:rsidR="008124E9" w:rsidRPr="008124E9" w:rsidRDefault="008124E9" w:rsidP="008124E9">
      <w:pPr>
        <w:jc w:val="both"/>
        <w:rPr>
          <w:rFonts w:ascii="Bookman Old Style" w:eastAsia="Times New Roman" w:hAnsi="Bookman Old Style" w:cs="Times New Roman"/>
          <w:color w:val="000000"/>
          <w:sz w:val="24"/>
          <w:szCs w:val="24"/>
          <w:lang w:eastAsia="es-CO"/>
        </w:rPr>
      </w:pPr>
    </w:p>
    <w:p w:rsidR="008124E9" w:rsidRPr="008124E9" w:rsidRDefault="008124E9" w:rsidP="008124E9">
      <w:pPr>
        <w:jc w:val="both"/>
        <w:rPr>
          <w:rFonts w:ascii="Bookman Old Style" w:eastAsia="Times New Roman" w:hAnsi="Bookman Old Style" w:cs="Times New Roman"/>
          <w:color w:val="000000"/>
          <w:sz w:val="24"/>
          <w:szCs w:val="24"/>
          <w:lang w:eastAsia="es-CO"/>
        </w:rPr>
      </w:pPr>
      <w:r w:rsidRPr="008124E9">
        <w:rPr>
          <w:rFonts w:ascii="Bookman Old Style" w:eastAsia="Times New Roman" w:hAnsi="Bookman Old Style" w:cs="Times New Roman"/>
          <w:b/>
          <w:bCs/>
          <w:color w:val="000000"/>
          <w:sz w:val="24"/>
          <w:szCs w:val="24"/>
          <w:lang w:eastAsia="es-CO"/>
        </w:rPr>
        <w:t>ACCIÓN DE TUTELA</w:t>
      </w:r>
      <w:r w:rsidRPr="008124E9">
        <w:rPr>
          <w:rFonts w:ascii="Bookman Old Style" w:eastAsia="Times New Roman" w:hAnsi="Bookman Old Style" w:cs="Times New Roman"/>
          <w:color w:val="000000"/>
          <w:sz w:val="24"/>
          <w:szCs w:val="24"/>
          <w:lang w:eastAsia="es-CO"/>
        </w:rPr>
        <w:t> - Falta de fundamento objetivo de la acción respecto del supuesto rechazo de la terna enviada el 2 de agosto de 2023 para la elección de fiscal general de la Nación, como quiera que fue el presidente de la República quien decidió modificarla</w:t>
      </w:r>
    </w:p>
    <w:p w:rsidR="008124E9" w:rsidRPr="008124E9" w:rsidRDefault="008124E9" w:rsidP="008124E9">
      <w:pPr>
        <w:jc w:val="both"/>
        <w:rPr>
          <w:rFonts w:ascii="Bookman Old Style" w:eastAsia="Times New Roman" w:hAnsi="Bookman Old Style" w:cs="Times New Roman"/>
          <w:color w:val="000000"/>
          <w:sz w:val="24"/>
          <w:szCs w:val="24"/>
          <w:lang w:eastAsia="es-CO"/>
        </w:rPr>
      </w:pPr>
    </w:p>
    <w:p w:rsidR="008124E9" w:rsidRPr="008124E9" w:rsidRDefault="008124E9" w:rsidP="008124E9">
      <w:pPr>
        <w:jc w:val="both"/>
        <w:rPr>
          <w:rFonts w:ascii="Bookman Old Style" w:eastAsia="Times New Roman" w:hAnsi="Bookman Old Style" w:cs="Times New Roman"/>
          <w:color w:val="000000"/>
          <w:sz w:val="24"/>
          <w:szCs w:val="24"/>
          <w:lang w:eastAsia="es-CO"/>
        </w:rPr>
      </w:pPr>
      <w:r w:rsidRPr="008124E9">
        <w:rPr>
          <w:rFonts w:ascii="Bookman Old Style" w:eastAsia="Times New Roman" w:hAnsi="Bookman Old Style" w:cs="Times New Roman"/>
          <w:b/>
          <w:bCs/>
          <w:color w:val="000000"/>
          <w:sz w:val="24"/>
          <w:szCs w:val="24"/>
          <w:lang w:eastAsia="es-CO"/>
        </w:rPr>
        <w:t>ACCIÓN DE TUTELA</w:t>
      </w:r>
      <w:r w:rsidRPr="008124E9">
        <w:rPr>
          <w:rFonts w:ascii="Bookman Old Style" w:eastAsia="Times New Roman" w:hAnsi="Bookman Old Style" w:cs="Times New Roman"/>
          <w:color w:val="000000"/>
          <w:sz w:val="24"/>
          <w:szCs w:val="24"/>
          <w:lang w:eastAsia="es-CO"/>
        </w:rPr>
        <w:t> - Carga probatoria del accionante para demostrar los supuestos fácticos en que se funda la pretensión</w:t>
      </w:r>
    </w:p>
    <w:p w:rsidR="008124E9" w:rsidRPr="008124E9" w:rsidRDefault="008124E9" w:rsidP="008124E9">
      <w:pPr>
        <w:jc w:val="both"/>
        <w:rPr>
          <w:rFonts w:ascii="Bookman Old Style" w:eastAsia="Times New Roman" w:hAnsi="Bookman Old Style" w:cs="Times New Roman"/>
          <w:color w:val="000000"/>
          <w:sz w:val="24"/>
          <w:szCs w:val="24"/>
          <w:lang w:eastAsia="es-CO"/>
        </w:rPr>
      </w:pPr>
    </w:p>
    <w:p w:rsidR="008124E9" w:rsidRPr="008124E9" w:rsidRDefault="008124E9" w:rsidP="008124E9">
      <w:pPr>
        <w:jc w:val="both"/>
        <w:rPr>
          <w:rFonts w:ascii="Bookman Old Style" w:eastAsia="Times New Roman" w:hAnsi="Bookman Old Style" w:cs="Times New Roman"/>
          <w:color w:val="000000"/>
          <w:sz w:val="24"/>
          <w:szCs w:val="24"/>
          <w:lang w:eastAsia="es-CO"/>
        </w:rPr>
      </w:pPr>
      <w:r w:rsidRPr="008124E9">
        <w:rPr>
          <w:rFonts w:ascii="Bookman Old Style" w:eastAsia="Times New Roman" w:hAnsi="Bookman Old Style" w:cs="Times New Roman"/>
          <w:b/>
          <w:bCs/>
          <w:color w:val="7D3B05"/>
          <w:sz w:val="24"/>
          <w:szCs w:val="24"/>
          <w:lang w:eastAsia="es-CO"/>
        </w:rPr>
        <w:t>Tesis:</w:t>
      </w:r>
    </w:p>
    <w:p w:rsidR="008124E9" w:rsidRPr="008124E9" w:rsidRDefault="008124E9" w:rsidP="008124E9">
      <w:pPr>
        <w:jc w:val="both"/>
        <w:rPr>
          <w:rFonts w:ascii="Bookman Old Style" w:eastAsia="Times New Roman" w:hAnsi="Bookman Old Style" w:cs="Times New Roman"/>
          <w:color w:val="000000"/>
          <w:sz w:val="24"/>
          <w:szCs w:val="24"/>
          <w:lang w:eastAsia="es-CO"/>
        </w:rPr>
      </w:pPr>
      <w:r w:rsidRPr="008124E9">
        <w:rPr>
          <w:rFonts w:ascii="Bookman Old Style" w:eastAsia="Times New Roman" w:hAnsi="Bookman Old Style" w:cs="Times New Roman"/>
          <w:color w:val="000000"/>
          <w:sz w:val="24"/>
          <w:szCs w:val="24"/>
          <w:lang w:eastAsia="es-CO"/>
        </w:rPr>
        <w:t>«(...) algunos de los hechos señalados en la acción carecen de soporte objetivo. Precisamente, el accionante señala que la vulneración general de sus derechos y el incumplimiento del artículo 249 superior, ocurre en la medida en que la Corte Suprema ha rechazado la terna enviada por el Presidente de la República el 2 de agosto de 2023, integrada por las doctoras Ángela María Buitrago Ruíz, Amelia Pérez Parra y Amparo Cerón Ojeda. Cuando lo cierto es que fue el mismo Presidente de la República, en cumplimiento estricto de sus deberes constitucionales, quien remitió a la Corte Suprema de Justicia, el 26 de septiembre de 2023 una nueva terna para la elección del fiscal general de la Nación, integrada por las doctoras Luz Adriana Camargo Garzón, Ángela María Buitrago Ruíz y Amelia Pérez Parra.</w:t>
      </w:r>
    </w:p>
    <w:p w:rsidR="008124E9" w:rsidRPr="008124E9" w:rsidRDefault="008124E9" w:rsidP="008124E9">
      <w:pPr>
        <w:jc w:val="both"/>
        <w:rPr>
          <w:rFonts w:ascii="Bookman Old Style" w:eastAsia="Times New Roman" w:hAnsi="Bookman Old Style" w:cs="Times New Roman"/>
          <w:color w:val="000000"/>
          <w:sz w:val="24"/>
          <w:szCs w:val="24"/>
          <w:lang w:eastAsia="es-CO"/>
        </w:rPr>
      </w:pPr>
    </w:p>
    <w:p w:rsidR="008124E9" w:rsidRPr="008124E9" w:rsidRDefault="008124E9" w:rsidP="008124E9">
      <w:pPr>
        <w:jc w:val="both"/>
        <w:rPr>
          <w:rFonts w:ascii="Bookman Old Style" w:eastAsia="Times New Roman" w:hAnsi="Bookman Old Style" w:cs="Times New Roman"/>
          <w:color w:val="000000"/>
          <w:sz w:val="24"/>
          <w:szCs w:val="24"/>
          <w:lang w:eastAsia="es-CO"/>
        </w:rPr>
      </w:pPr>
      <w:r w:rsidRPr="008124E9">
        <w:rPr>
          <w:rFonts w:ascii="Bookman Old Style" w:eastAsia="Times New Roman" w:hAnsi="Bookman Old Style" w:cs="Times New Roman"/>
          <w:color w:val="000000"/>
          <w:sz w:val="24"/>
          <w:szCs w:val="24"/>
          <w:lang w:eastAsia="es-CO"/>
        </w:rPr>
        <w:t>Contrario a lo señalado en el escrito de tutela, el acto administrativo de trámite que integró la terna fue admitido por la Corporación judicial al señalar que las aspirantes presentadas por el ejecutivo cumplen los requisitos constitucionales y legales para ser elegidas Fiscal General de la Nación. Incluso, los magistrados de la Corte Suprema de Justicia participaron activamente en la audiencia pública que tuvo lugar el 23 de noviembre de 2023, en la que fueron escuchadas sus propuestas. De manera que no están acreditados los hechos que se afirma vulneran los derechos ciudadanos o que modifican el mandato previsto en el artículo 249 de la Constitución Política»</w:t>
      </w:r>
    </w:p>
    <w:p w:rsidR="008124E9" w:rsidRPr="008124E9" w:rsidRDefault="008124E9" w:rsidP="008124E9">
      <w:pPr>
        <w:jc w:val="both"/>
        <w:rPr>
          <w:rFonts w:ascii="Bookman Old Style" w:eastAsia="Times New Roman" w:hAnsi="Bookman Old Style" w:cs="Times New Roman"/>
          <w:color w:val="000000"/>
          <w:sz w:val="24"/>
          <w:szCs w:val="24"/>
          <w:lang w:eastAsia="es-CO"/>
        </w:rPr>
      </w:pPr>
    </w:p>
    <w:p w:rsidR="008124E9" w:rsidRPr="008124E9" w:rsidRDefault="008124E9" w:rsidP="008124E9">
      <w:pPr>
        <w:jc w:val="both"/>
        <w:rPr>
          <w:rFonts w:ascii="Bookman Old Style" w:eastAsia="Times New Roman" w:hAnsi="Bookman Old Style" w:cs="Times New Roman"/>
          <w:color w:val="000000"/>
          <w:sz w:val="24"/>
          <w:szCs w:val="24"/>
          <w:lang w:eastAsia="es-CO"/>
        </w:rPr>
      </w:pPr>
      <w:r w:rsidRPr="008124E9">
        <w:rPr>
          <w:rFonts w:ascii="Bookman Old Style" w:eastAsia="Times New Roman" w:hAnsi="Bookman Old Style" w:cs="Times New Roman"/>
          <w:b/>
          <w:bCs/>
          <w:color w:val="000000"/>
          <w:sz w:val="24"/>
          <w:szCs w:val="24"/>
          <w:lang w:eastAsia="es-CO"/>
        </w:rPr>
        <w:t>ACCIÓN DE TUTELA</w:t>
      </w:r>
      <w:r w:rsidRPr="008124E9">
        <w:rPr>
          <w:rFonts w:ascii="Bookman Old Style" w:eastAsia="Times New Roman" w:hAnsi="Bookman Old Style" w:cs="Times New Roman"/>
          <w:color w:val="000000"/>
          <w:sz w:val="24"/>
          <w:szCs w:val="24"/>
          <w:lang w:eastAsia="es-CO"/>
        </w:rPr>
        <w:t> - Legitimación en la causa por pasiva: legitimación de la Corte Suprema de Justicia y del presidente de la República para actuar como accionados, porque son los encargados de la postulación y la elección de fiscal general de la Nación</w:t>
      </w:r>
    </w:p>
    <w:p w:rsidR="008124E9" w:rsidRPr="008124E9" w:rsidRDefault="008124E9" w:rsidP="008124E9">
      <w:pPr>
        <w:jc w:val="both"/>
        <w:rPr>
          <w:rFonts w:ascii="Bookman Old Style" w:eastAsia="Times New Roman" w:hAnsi="Bookman Old Style" w:cs="Times New Roman"/>
          <w:color w:val="000000"/>
          <w:sz w:val="24"/>
          <w:szCs w:val="24"/>
          <w:lang w:eastAsia="es-CO"/>
        </w:rPr>
      </w:pPr>
    </w:p>
    <w:p w:rsidR="008124E9" w:rsidRPr="008124E9" w:rsidRDefault="008124E9" w:rsidP="008124E9">
      <w:pPr>
        <w:jc w:val="both"/>
        <w:rPr>
          <w:rFonts w:ascii="Bookman Old Style" w:eastAsia="Times New Roman" w:hAnsi="Bookman Old Style" w:cs="Times New Roman"/>
          <w:color w:val="000000"/>
          <w:sz w:val="24"/>
          <w:szCs w:val="24"/>
          <w:lang w:eastAsia="es-CO"/>
        </w:rPr>
      </w:pPr>
      <w:r w:rsidRPr="008124E9">
        <w:rPr>
          <w:rFonts w:ascii="Bookman Old Style" w:eastAsia="Times New Roman" w:hAnsi="Bookman Old Style" w:cs="Times New Roman"/>
          <w:b/>
          <w:bCs/>
          <w:color w:val="7D3B05"/>
          <w:sz w:val="24"/>
          <w:szCs w:val="24"/>
          <w:lang w:eastAsia="es-CO"/>
        </w:rPr>
        <w:t>Tesis:</w:t>
      </w:r>
    </w:p>
    <w:p w:rsidR="008124E9" w:rsidRPr="008124E9" w:rsidRDefault="008124E9" w:rsidP="008124E9">
      <w:pPr>
        <w:jc w:val="both"/>
        <w:rPr>
          <w:rFonts w:ascii="Bookman Old Style" w:eastAsia="Times New Roman" w:hAnsi="Bookman Old Style" w:cs="Times New Roman"/>
          <w:color w:val="000000"/>
          <w:sz w:val="24"/>
          <w:szCs w:val="24"/>
          <w:lang w:eastAsia="es-CO"/>
        </w:rPr>
      </w:pPr>
      <w:r w:rsidRPr="008124E9">
        <w:rPr>
          <w:rFonts w:ascii="Bookman Old Style" w:eastAsia="Times New Roman" w:hAnsi="Bookman Old Style" w:cs="Times New Roman"/>
          <w:color w:val="000000"/>
          <w:sz w:val="24"/>
          <w:szCs w:val="24"/>
          <w:lang w:eastAsia="es-CO"/>
        </w:rPr>
        <w:t xml:space="preserve">«La Sala considera acreditada la legitimación en la causa por pasiva de la Corte Suprema de Justicia y del Presidente de la República, pues son la entidad y el funcionario encargado de participar en la postulación y elección </w:t>
      </w:r>
      <w:r w:rsidRPr="008124E9">
        <w:rPr>
          <w:rFonts w:ascii="Bookman Old Style" w:eastAsia="Times New Roman" w:hAnsi="Bookman Old Style" w:cs="Times New Roman"/>
          <w:color w:val="000000"/>
          <w:sz w:val="24"/>
          <w:szCs w:val="24"/>
          <w:lang w:eastAsia="es-CO"/>
        </w:rPr>
        <w:lastRenderedPageBreak/>
        <w:t>del Fiscal General de la Nación. Por tanto, son los presuntamente responsables de haber omitido los deberes que le atribuye el accionante y que presumiblemente desconocieron sus derechos fundamentales»</w:t>
      </w:r>
    </w:p>
    <w:p w:rsidR="008124E9" w:rsidRPr="008124E9" w:rsidRDefault="008124E9" w:rsidP="008124E9">
      <w:pPr>
        <w:jc w:val="both"/>
        <w:rPr>
          <w:rFonts w:ascii="Bookman Old Style" w:eastAsia="Times New Roman" w:hAnsi="Bookman Old Style" w:cs="Times New Roman"/>
          <w:color w:val="000000"/>
          <w:sz w:val="24"/>
          <w:szCs w:val="24"/>
          <w:lang w:eastAsia="es-CO"/>
        </w:rPr>
      </w:pPr>
    </w:p>
    <w:p w:rsidR="008124E9" w:rsidRPr="008124E9" w:rsidRDefault="008124E9" w:rsidP="008124E9">
      <w:pPr>
        <w:jc w:val="both"/>
        <w:rPr>
          <w:rFonts w:ascii="Bookman Old Style" w:eastAsia="Times New Roman" w:hAnsi="Bookman Old Style" w:cs="Times New Roman"/>
          <w:color w:val="000000"/>
          <w:sz w:val="24"/>
          <w:szCs w:val="24"/>
          <w:lang w:eastAsia="es-CO"/>
        </w:rPr>
      </w:pPr>
      <w:r w:rsidRPr="008124E9">
        <w:rPr>
          <w:rFonts w:ascii="Bookman Old Style" w:eastAsia="Times New Roman" w:hAnsi="Bookman Old Style" w:cs="Times New Roman"/>
          <w:b/>
          <w:bCs/>
          <w:color w:val="000000"/>
          <w:sz w:val="24"/>
          <w:szCs w:val="24"/>
          <w:lang w:eastAsia="es-CO"/>
        </w:rPr>
        <w:t>DERECHO ADMINISTRATIVO</w:t>
      </w:r>
      <w:r w:rsidRPr="008124E9">
        <w:rPr>
          <w:rFonts w:ascii="Bookman Old Style" w:eastAsia="Times New Roman" w:hAnsi="Bookman Old Style" w:cs="Times New Roman"/>
          <w:color w:val="000000"/>
          <w:sz w:val="24"/>
          <w:szCs w:val="24"/>
          <w:lang w:eastAsia="es-CO"/>
        </w:rPr>
        <w:t> - Acto administrativo - Acto electoral - Elección de fiscal general de la Nación: sujeción al control de legalidad ante la jurisdicción contencioso administrativa</w:t>
      </w:r>
    </w:p>
    <w:p w:rsidR="008124E9" w:rsidRPr="008124E9" w:rsidRDefault="008124E9" w:rsidP="008124E9">
      <w:pPr>
        <w:jc w:val="both"/>
        <w:rPr>
          <w:rFonts w:ascii="Bookman Old Style" w:eastAsia="Times New Roman" w:hAnsi="Bookman Old Style" w:cs="Times New Roman"/>
          <w:color w:val="000000"/>
          <w:sz w:val="24"/>
          <w:szCs w:val="24"/>
          <w:lang w:eastAsia="es-CO"/>
        </w:rPr>
      </w:pPr>
    </w:p>
    <w:p w:rsidR="008124E9" w:rsidRPr="008124E9" w:rsidRDefault="008124E9" w:rsidP="008124E9">
      <w:pPr>
        <w:jc w:val="both"/>
        <w:rPr>
          <w:rFonts w:ascii="Bookman Old Style" w:eastAsia="Times New Roman" w:hAnsi="Bookman Old Style" w:cs="Times New Roman"/>
          <w:color w:val="000000"/>
          <w:sz w:val="24"/>
          <w:szCs w:val="24"/>
          <w:lang w:eastAsia="es-CO"/>
        </w:rPr>
      </w:pPr>
      <w:r w:rsidRPr="008124E9">
        <w:rPr>
          <w:rFonts w:ascii="Bookman Old Style" w:eastAsia="Times New Roman" w:hAnsi="Bookman Old Style" w:cs="Times New Roman"/>
          <w:b/>
          <w:bCs/>
          <w:color w:val="000000"/>
          <w:sz w:val="24"/>
          <w:szCs w:val="24"/>
          <w:lang w:eastAsia="es-CO"/>
        </w:rPr>
        <w:t>DERECHO CONSTITUCIONAL</w:t>
      </w:r>
      <w:r w:rsidRPr="008124E9">
        <w:rPr>
          <w:rFonts w:ascii="Bookman Old Style" w:eastAsia="Times New Roman" w:hAnsi="Bookman Old Style" w:cs="Times New Roman"/>
          <w:color w:val="000000"/>
          <w:sz w:val="24"/>
          <w:szCs w:val="24"/>
          <w:lang w:eastAsia="es-CO"/>
        </w:rPr>
        <w:t> - Acciones constitucionales - Acción de tutela - Legitimación en la causa por activa: legitimación de los ciudadanos para controvertir las decisiones arbitrarias que se produzcan en la elección de fiscal general de la Nación</w:t>
      </w:r>
    </w:p>
    <w:p w:rsidR="008124E9" w:rsidRPr="008124E9" w:rsidRDefault="008124E9" w:rsidP="008124E9">
      <w:pPr>
        <w:jc w:val="both"/>
        <w:rPr>
          <w:rFonts w:ascii="Bookman Old Style" w:eastAsia="Times New Roman" w:hAnsi="Bookman Old Style" w:cs="Times New Roman"/>
          <w:color w:val="000000"/>
          <w:sz w:val="24"/>
          <w:szCs w:val="24"/>
          <w:lang w:eastAsia="es-CO"/>
        </w:rPr>
      </w:pPr>
    </w:p>
    <w:p w:rsidR="008124E9" w:rsidRPr="008124E9" w:rsidRDefault="008124E9" w:rsidP="008124E9">
      <w:pPr>
        <w:jc w:val="both"/>
        <w:rPr>
          <w:rFonts w:ascii="Bookman Old Style" w:eastAsia="Times New Roman" w:hAnsi="Bookman Old Style" w:cs="Times New Roman"/>
          <w:color w:val="000000"/>
          <w:sz w:val="24"/>
          <w:szCs w:val="24"/>
          <w:lang w:eastAsia="es-CO"/>
        </w:rPr>
      </w:pPr>
      <w:r w:rsidRPr="008124E9">
        <w:rPr>
          <w:rFonts w:ascii="Bookman Old Style" w:eastAsia="Times New Roman" w:hAnsi="Bookman Old Style" w:cs="Times New Roman"/>
          <w:b/>
          <w:bCs/>
          <w:color w:val="000000"/>
          <w:sz w:val="24"/>
          <w:szCs w:val="24"/>
          <w:lang w:eastAsia="es-CO"/>
        </w:rPr>
        <w:t>DERECHO CONSTITUCIONAL</w:t>
      </w:r>
      <w:r w:rsidRPr="008124E9">
        <w:rPr>
          <w:rFonts w:ascii="Bookman Old Style" w:eastAsia="Times New Roman" w:hAnsi="Bookman Old Style" w:cs="Times New Roman"/>
          <w:color w:val="000000"/>
          <w:sz w:val="24"/>
          <w:szCs w:val="24"/>
          <w:lang w:eastAsia="es-CO"/>
        </w:rPr>
        <w:t> - Acciones constitucionales - Acción de tutela - Requisitos de procedencia: subreglas jurisprudenciales para controvertir la elección o el trámite de la elección de fiscal general de la Nación</w:t>
      </w:r>
    </w:p>
    <w:p w:rsidR="008124E9" w:rsidRPr="008124E9" w:rsidRDefault="008124E9" w:rsidP="008124E9">
      <w:pPr>
        <w:jc w:val="both"/>
        <w:rPr>
          <w:rFonts w:ascii="Bookman Old Style" w:eastAsia="Times New Roman" w:hAnsi="Bookman Old Style" w:cs="Times New Roman"/>
          <w:color w:val="000000"/>
          <w:sz w:val="24"/>
          <w:szCs w:val="24"/>
          <w:lang w:eastAsia="es-CO"/>
        </w:rPr>
      </w:pPr>
    </w:p>
    <w:p w:rsidR="008124E9" w:rsidRPr="008124E9" w:rsidRDefault="008124E9" w:rsidP="008124E9">
      <w:pPr>
        <w:jc w:val="both"/>
        <w:rPr>
          <w:rFonts w:ascii="Bookman Old Style" w:eastAsia="Times New Roman" w:hAnsi="Bookman Old Style" w:cs="Times New Roman"/>
          <w:color w:val="000000"/>
          <w:sz w:val="24"/>
          <w:szCs w:val="24"/>
          <w:lang w:eastAsia="es-CO"/>
        </w:rPr>
      </w:pPr>
      <w:r w:rsidRPr="008124E9">
        <w:rPr>
          <w:rFonts w:ascii="Bookman Old Style" w:eastAsia="Times New Roman" w:hAnsi="Bookman Old Style" w:cs="Times New Roman"/>
          <w:b/>
          <w:bCs/>
          <w:color w:val="000000"/>
          <w:sz w:val="24"/>
          <w:szCs w:val="24"/>
          <w:lang w:eastAsia="es-CO"/>
        </w:rPr>
        <w:t>DERECHO CONSTITUCIONAL</w:t>
      </w:r>
      <w:r w:rsidRPr="008124E9">
        <w:rPr>
          <w:rFonts w:ascii="Bookman Old Style" w:eastAsia="Times New Roman" w:hAnsi="Bookman Old Style" w:cs="Times New Roman"/>
          <w:color w:val="000000"/>
          <w:sz w:val="24"/>
          <w:szCs w:val="24"/>
          <w:lang w:eastAsia="es-CO"/>
        </w:rPr>
        <w:t> - Estructura del Estado - Rama Judicial - Corte Suprema de Justicia - Funciones - Función electoral: legalidad del procedimiento surtido por la Corte Suprema de Justicia para elegir el reemplazo de Francisco Barbosa Delgado, como fiscal general de la Nación</w:t>
      </w:r>
    </w:p>
    <w:p w:rsidR="008124E9" w:rsidRPr="008124E9" w:rsidRDefault="008124E9" w:rsidP="008124E9">
      <w:pPr>
        <w:jc w:val="both"/>
        <w:rPr>
          <w:rFonts w:ascii="Bookman Old Style" w:eastAsia="Times New Roman" w:hAnsi="Bookman Old Style" w:cs="Times New Roman"/>
          <w:color w:val="000000"/>
          <w:sz w:val="24"/>
          <w:szCs w:val="24"/>
          <w:lang w:eastAsia="es-CO"/>
        </w:rPr>
      </w:pPr>
    </w:p>
    <w:p w:rsidR="008124E9" w:rsidRPr="008124E9" w:rsidRDefault="008124E9" w:rsidP="008124E9">
      <w:pPr>
        <w:jc w:val="both"/>
        <w:rPr>
          <w:rFonts w:ascii="Bookman Old Style" w:eastAsia="Times New Roman" w:hAnsi="Bookman Old Style" w:cs="Times New Roman"/>
          <w:color w:val="000000"/>
          <w:sz w:val="24"/>
          <w:szCs w:val="24"/>
          <w:lang w:eastAsia="es-CO"/>
        </w:rPr>
      </w:pPr>
      <w:r w:rsidRPr="008124E9">
        <w:rPr>
          <w:rFonts w:ascii="Bookman Old Style" w:eastAsia="Times New Roman" w:hAnsi="Bookman Old Style" w:cs="Times New Roman"/>
          <w:b/>
          <w:bCs/>
          <w:color w:val="000000"/>
          <w:sz w:val="24"/>
          <w:szCs w:val="24"/>
          <w:lang w:eastAsia="es-CO"/>
        </w:rPr>
        <w:t>DERECHO AL DEBIDO PROCESO ADMINISTRATIVO</w:t>
      </w:r>
      <w:r w:rsidRPr="008124E9">
        <w:rPr>
          <w:rFonts w:ascii="Bookman Old Style" w:eastAsia="Times New Roman" w:hAnsi="Bookman Old Style" w:cs="Times New Roman"/>
          <w:color w:val="000000"/>
          <w:sz w:val="24"/>
          <w:szCs w:val="24"/>
          <w:lang w:eastAsia="es-CO"/>
        </w:rPr>
        <w:t> - Inexistencia de mora injustificada de la Corte Suprema de Justicia para elegir fiscal general de la Nación</w:t>
      </w:r>
    </w:p>
    <w:p w:rsidR="008124E9" w:rsidRPr="008124E9" w:rsidRDefault="008124E9" w:rsidP="008124E9">
      <w:pPr>
        <w:jc w:val="both"/>
        <w:rPr>
          <w:rFonts w:ascii="Bookman Old Style" w:eastAsia="Times New Roman" w:hAnsi="Bookman Old Style" w:cs="Times New Roman"/>
          <w:color w:val="000000"/>
          <w:sz w:val="24"/>
          <w:szCs w:val="24"/>
          <w:lang w:eastAsia="es-CO"/>
        </w:rPr>
      </w:pPr>
    </w:p>
    <w:p w:rsidR="008124E9" w:rsidRPr="008124E9" w:rsidRDefault="008124E9" w:rsidP="008124E9">
      <w:pPr>
        <w:jc w:val="both"/>
        <w:rPr>
          <w:rFonts w:ascii="Bookman Old Style" w:eastAsia="Times New Roman" w:hAnsi="Bookman Old Style" w:cs="Times New Roman"/>
          <w:color w:val="000000"/>
          <w:sz w:val="24"/>
          <w:szCs w:val="24"/>
          <w:lang w:eastAsia="es-CO"/>
        </w:rPr>
      </w:pPr>
      <w:r w:rsidRPr="008124E9">
        <w:rPr>
          <w:rFonts w:ascii="Bookman Old Style" w:eastAsia="Times New Roman" w:hAnsi="Bookman Old Style" w:cs="Times New Roman"/>
          <w:b/>
          <w:bCs/>
          <w:color w:val="000000"/>
          <w:sz w:val="24"/>
          <w:szCs w:val="24"/>
          <w:lang w:eastAsia="es-CO"/>
        </w:rPr>
        <w:t>ACCIÓN DE TUTELA</w:t>
      </w:r>
      <w:r w:rsidRPr="008124E9">
        <w:rPr>
          <w:rFonts w:ascii="Bookman Old Style" w:eastAsia="Times New Roman" w:hAnsi="Bookman Old Style" w:cs="Times New Roman"/>
          <w:color w:val="000000"/>
          <w:sz w:val="24"/>
          <w:szCs w:val="24"/>
          <w:lang w:eastAsia="es-CO"/>
        </w:rPr>
        <w:t> - Imposibilidad de instrumentalizar la acción para desconocer el procedimiento democrático, razonado y discrecional que regula la elección de fiscal general de la Nación</w:t>
      </w:r>
    </w:p>
    <w:p w:rsidR="008124E9" w:rsidRPr="008124E9" w:rsidRDefault="008124E9" w:rsidP="008124E9">
      <w:pPr>
        <w:jc w:val="both"/>
        <w:rPr>
          <w:rFonts w:ascii="Bookman Old Style" w:eastAsia="Times New Roman" w:hAnsi="Bookman Old Style" w:cs="Times New Roman"/>
          <w:color w:val="000000"/>
          <w:sz w:val="24"/>
          <w:szCs w:val="24"/>
          <w:lang w:eastAsia="es-CO"/>
        </w:rPr>
      </w:pPr>
    </w:p>
    <w:p w:rsidR="008124E9" w:rsidRPr="008124E9" w:rsidRDefault="008124E9" w:rsidP="008124E9">
      <w:pPr>
        <w:jc w:val="both"/>
        <w:rPr>
          <w:rFonts w:ascii="Bookman Old Style" w:eastAsia="Times New Roman" w:hAnsi="Bookman Old Style" w:cs="Times New Roman"/>
          <w:color w:val="000000"/>
          <w:sz w:val="24"/>
          <w:szCs w:val="24"/>
          <w:lang w:eastAsia="es-CO"/>
        </w:rPr>
      </w:pPr>
      <w:r w:rsidRPr="008124E9">
        <w:rPr>
          <w:rFonts w:ascii="Bookman Old Style" w:eastAsia="Times New Roman" w:hAnsi="Bookman Old Style" w:cs="Times New Roman"/>
          <w:b/>
          <w:bCs/>
          <w:color w:val="000000"/>
          <w:sz w:val="24"/>
          <w:szCs w:val="24"/>
          <w:lang w:eastAsia="es-CO"/>
        </w:rPr>
        <w:t>DERECHO CONSTITUCIONAL</w:t>
      </w:r>
      <w:r w:rsidRPr="008124E9">
        <w:rPr>
          <w:rFonts w:ascii="Bookman Old Style" w:eastAsia="Times New Roman" w:hAnsi="Bookman Old Style" w:cs="Times New Roman"/>
          <w:color w:val="000000"/>
          <w:sz w:val="24"/>
          <w:szCs w:val="24"/>
          <w:lang w:eastAsia="es-CO"/>
        </w:rPr>
        <w:t> - Estructura del Estado - Rama Judicial - Corte Suprema de Justicia - Funciones - Función electoral: facultad de los magistrados de votar en blanco, en la elección de fiscal general de la Nación</w:t>
      </w:r>
    </w:p>
    <w:p w:rsidR="008124E9" w:rsidRPr="008124E9" w:rsidRDefault="008124E9" w:rsidP="008124E9">
      <w:pPr>
        <w:jc w:val="both"/>
        <w:rPr>
          <w:rFonts w:ascii="Bookman Old Style" w:eastAsia="Times New Roman" w:hAnsi="Bookman Old Style" w:cs="Times New Roman"/>
          <w:color w:val="000000"/>
          <w:sz w:val="24"/>
          <w:szCs w:val="24"/>
          <w:lang w:eastAsia="es-CO"/>
        </w:rPr>
      </w:pPr>
    </w:p>
    <w:p w:rsidR="008124E9" w:rsidRPr="008124E9" w:rsidRDefault="008124E9" w:rsidP="008124E9">
      <w:pPr>
        <w:jc w:val="both"/>
        <w:rPr>
          <w:rFonts w:ascii="Bookman Old Style" w:eastAsia="Times New Roman" w:hAnsi="Bookman Old Style" w:cs="Times New Roman"/>
          <w:color w:val="000000"/>
          <w:sz w:val="24"/>
          <w:szCs w:val="24"/>
          <w:lang w:eastAsia="es-CO"/>
        </w:rPr>
      </w:pPr>
      <w:r w:rsidRPr="008124E9">
        <w:rPr>
          <w:rFonts w:ascii="Bookman Old Style" w:eastAsia="Times New Roman" w:hAnsi="Bookman Old Style" w:cs="Times New Roman"/>
          <w:b/>
          <w:bCs/>
          <w:color w:val="000000"/>
          <w:sz w:val="24"/>
          <w:szCs w:val="24"/>
          <w:lang w:eastAsia="es-CO"/>
        </w:rPr>
        <w:t>DERECHO AL DEBIDO PROCESO ADMINISTRATIVO</w:t>
      </w:r>
      <w:r w:rsidRPr="008124E9">
        <w:rPr>
          <w:rFonts w:ascii="Bookman Old Style" w:eastAsia="Times New Roman" w:hAnsi="Bookman Old Style" w:cs="Times New Roman"/>
          <w:color w:val="000000"/>
          <w:sz w:val="24"/>
          <w:szCs w:val="24"/>
          <w:lang w:eastAsia="es-CO"/>
        </w:rPr>
        <w:t> - El encargo de la vicefiscal como fiscal general de la Nación, por vencimiento del periodo de su titular, no constituye una vía de hecho contraria al art. 249 constitucional</w:t>
      </w:r>
    </w:p>
    <w:p w:rsidR="008124E9" w:rsidRPr="008124E9" w:rsidRDefault="008124E9" w:rsidP="008124E9">
      <w:pPr>
        <w:jc w:val="both"/>
        <w:rPr>
          <w:rFonts w:ascii="Bookman Old Style" w:eastAsia="Times New Roman" w:hAnsi="Bookman Old Style" w:cs="Times New Roman"/>
          <w:color w:val="000000"/>
          <w:sz w:val="24"/>
          <w:szCs w:val="24"/>
          <w:lang w:eastAsia="es-CO"/>
        </w:rPr>
      </w:pPr>
    </w:p>
    <w:p w:rsidR="008124E9" w:rsidRPr="008124E9" w:rsidRDefault="008124E9" w:rsidP="008124E9">
      <w:pPr>
        <w:jc w:val="both"/>
        <w:rPr>
          <w:rFonts w:ascii="Bookman Old Style" w:eastAsia="Times New Roman" w:hAnsi="Bookman Old Style" w:cs="Times New Roman"/>
          <w:color w:val="000000"/>
          <w:sz w:val="24"/>
          <w:szCs w:val="24"/>
          <w:lang w:eastAsia="es-CO"/>
        </w:rPr>
      </w:pPr>
      <w:r w:rsidRPr="008124E9">
        <w:rPr>
          <w:rFonts w:ascii="Bookman Old Style" w:eastAsia="Times New Roman" w:hAnsi="Bookman Old Style" w:cs="Times New Roman"/>
          <w:b/>
          <w:bCs/>
          <w:color w:val="000000"/>
          <w:sz w:val="24"/>
          <w:szCs w:val="24"/>
          <w:lang w:eastAsia="es-CO"/>
        </w:rPr>
        <w:t>ACCIÓN DE TUTELA</w:t>
      </w:r>
      <w:r w:rsidRPr="008124E9">
        <w:rPr>
          <w:rFonts w:ascii="Bookman Old Style" w:eastAsia="Times New Roman" w:hAnsi="Bookman Old Style" w:cs="Times New Roman"/>
          <w:color w:val="000000"/>
          <w:sz w:val="24"/>
          <w:szCs w:val="24"/>
          <w:lang w:eastAsia="es-CO"/>
        </w:rPr>
        <w:t> - Principio de subsidiariedad - Improcedencia de la acción para evitar la designación de la vicefiscal como fiscal general de la Nación: otro mecanismo de defensa judicial</w:t>
      </w:r>
    </w:p>
    <w:p w:rsidR="008124E9" w:rsidRPr="008124E9" w:rsidRDefault="008124E9" w:rsidP="008124E9">
      <w:pPr>
        <w:jc w:val="both"/>
        <w:rPr>
          <w:rFonts w:ascii="Bookman Old Style" w:eastAsia="Times New Roman" w:hAnsi="Bookman Old Style" w:cs="Times New Roman"/>
          <w:color w:val="000000"/>
          <w:sz w:val="24"/>
          <w:szCs w:val="24"/>
          <w:lang w:eastAsia="es-CO"/>
        </w:rPr>
      </w:pPr>
    </w:p>
    <w:p w:rsidR="008124E9" w:rsidRPr="008124E9" w:rsidRDefault="008124E9" w:rsidP="008124E9">
      <w:pPr>
        <w:jc w:val="both"/>
        <w:rPr>
          <w:rFonts w:ascii="Bookman Old Style" w:eastAsia="Times New Roman" w:hAnsi="Bookman Old Style" w:cs="Times New Roman"/>
          <w:color w:val="000000"/>
          <w:sz w:val="24"/>
          <w:szCs w:val="24"/>
          <w:lang w:eastAsia="es-CO"/>
        </w:rPr>
      </w:pPr>
      <w:r w:rsidRPr="008124E9">
        <w:rPr>
          <w:rFonts w:ascii="Bookman Old Style" w:eastAsia="Times New Roman" w:hAnsi="Bookman Old Style" w:cs="Times New Roman"/>
          <w:b/>
          <w:bCs/>
          <w:color w:val="7D3B05"/>
          <w:sz w:val="24"/>
          <w:szCs w:val="24"/>
          <w:lang w:eastAsia="es-CO"/>
        </w:rPr>
        <w:t>Tesis:</w:t>
      </w:r>
    </w:p>
    <w:p w:rsidR="008124E9" w:rsidRPr="008124E9" w:rsidRDefault="008124E9" w:rsidP="008124E9">
      <w:pPr>
        <w:jc w:val="both"/>
        <w:rPr>
          <w:rFonts w:ascii="Bookman Old Style" w:eastAsia="Times New Roman" w:hAnsi="Bookman Old Style" w:cs="Times New Roman"/>
          <w:color w:val="000000"/>
          <w:sz w:val="24"/>
          <w:szCs w:val="24"/>
          <w:lang w:eastAsia="es-CO"/>
        </w:rPr>
      </w:pPr>
      <w:r w:rsidRPr="008124E9">
        <w:rPr>
          <w:rFonts w:ascii="Bookman Old Style" w:eastAsia="Times New Roman" w:hAnsi="Bookman Old Style" w:cs="Times New Roman"/>
          <w:color w:val="000000"/>
          <w:sz w:val="24"/>
          <w:szCs w:val="24"/>
          <w:lang w:eastAsia="es-CO"/>
        </w:rPr>
        <w:t>«La jurisprudencia constitucional ha señalado que es obligación del juez de tutela determinar si la demanda cumple con las condiciones de subsidiariedad, residualidad e idoneidad para proteger los derechos fundamentales amenazados o afectados. O, en caso de disponer de otros medios legales para la protección del derecho fundamental, valorar si dicho medio de defensa es igualmente idóneo a la acción de tutela como mecanismo transitorio para evitar perjuicios irremediables.</w:t>
      </w:r>
    </w:p>
    <w:p w:rsidR="008124E9" w:rsidRPr="008124E9" w:rsidRDefault="008124E9" w:rsidP="008124E9">
      <w:pPr>
        <w:jc w:val="both"/>
        <w:rPr>
          <w:rFonts w:ascii="Bookman Old Style" w:eastAsia="Times New Roman" w:hAnsi="Bookman Old Style" w:cs="Times New Roman"/>
          <w:color w:val="000000"/>
          <w:sz w:val="24"/>
          <w:szCs w:val="24"/>
          <w:lang w:eastAsia="es-CO"/>
        </w:rPr>
      </w:pPr>
    </w:p>
    <w:p w:rsidR="008124E9" w:rsidRPr="008124E9" w:rsidRDefault="008124E9" w:rsidP="008124E9">
      <w:pPr>
        <w:jc w:val="both"/>
        <w:rPr>
          <w:rFonts w:ascii="Bookman Old Style" w:eastAsia="Times New Roman" w:hAnsi="Bookman Old Style" w:cs="Times New Roman"/>
          <w:color w:val="000000"/>
          <w:sz w:val="24"/>
          <w:szCs w:val="24"/>
          <w:lang w:eastAsia="es-CO"/>
        </w:rPr>
      </w:pPr>
      <w:r w:rsidRPr="008124E9">
        <w:rPr>
          <w:rFonts w:ascii="Bookman Old Style" w:eastAsia="Times New Roman" w:hAnsi="Bookman Old Style" w:cs="Times New Roman"/>
          <w:color w:val="000000"/>
          <w:sz w:val="24"/>
          <w:szCs w:val="24"/>
          <w:lang w:eastAsia="es-CO"/>
        </w:rPr>
        <w:t xml:space="preserve">En este punto, el Consejo de Estado ha señalado que los procedimientos de trámite y decisiones electorales para el nombramiento o elección de servidores públicos se encuentran sometidos a las reglas especiales que </w:t>
      </w:r>
      <w:r w:rsidRPr="008124E9">
        <w:rPr>
          <w:rFonts w:ascii="Bookman Old Style" w:eastAsia="Times New Roman" w:hAnsi="Bookman Old Style" w:cs="Times New Roman"/>
          <w:color w:val="000000"/>
          <w:sz w:val="24"/>
          <w:szCs w:val="24"/>
          <w:lang w:eastAsia="es-CO"/>
        </w:rPr>
        <w:lastRenderedPageBreak/>
        <w:t>prevé la Ley 1427 de 2011, artículos 223 y siguientes. Por tal motivo, es claro que el acto administrativo que elige al Fiscal General de la Nación, resulta susceptible al control administrativo y contencioso. Sin embargo, otra cosa ocurre con el procedimiento mismo de elección que, al no estar completamente regulado y ser ampliamente discrecional, no es susceptible de recursos por la vía administrativa u objeto de acciones ordinarias durante su desarrollo, lo que implica que las omisiones arbitrarias que se produzcan en estos procedimientos contra los derechos fundamentales de los ciudadanos legitimados por activa puedan ser cuestionadas por medio de la acción de tutela.</w:t>
      </w:r>
    </w:p>
    <w:p w:rsidR="008124E9" w:rsidRPr="008124E9" w:rsidRDefault="008124E9" w:rsidP="008124E9">
      <w:pPr>
        <w:jc w:val="both"/>
        <w:rPr>
          <w:rFonts w:ascii="Bookman Old Style" w:eastAsia="Times New Roman" w:hAnsi="Bookman Old Style" w:cs="Times New Roman"/>
          <w:color w:val="000000"/>
          <w:sz w:val="24"/>
          <w:szCs w:val="24"/>
          <w:lang w:eastAsia="es-CO"/>
        </w:rPr>
      </w:pPr>
    </w:p>
    <w:p w:rsidR="008124E9" w:rsidRPr="008124E9" w:rsidRDefault="008124E9" w:rsidP="008124E9">
      <w:pPr>
        <w:jc w:val="both"/>
        <w:rPr>
          <w:rFonts w:ascii="Bookman Old Style" w:eastAsia="Times New Roman" w:hAnsi="Bookman Old Style" w:cs="Times New Roman"/>
          <w:color w:val="000000"/>
          <w:sz w:val="24"/>
          <w:szCs w:val="24"/>
          <w:lang w:eastAsia="es-CO"/>
        </w:rPr>
      </w:pPr>
      <w:r w:rsidRPr="008124E9">
        <w:rPr>
          <w:rFonts w:ascii="Bookman Old Style" w:eastAsia="Times New Roman" w:hAnsi="Bookman Old Style" w:cs="Times New Roman"/>
          <w:color w:val="000000"/>
          <w:sz w:val="24"/>
          <w:szCs w:val="24"/>
          <w:lang w:eastAsia="es-CO"/>
        </w:rPr>
        <w:t>No obstante, la Corte Constitucional advierte que dicha posibilidad no es automática y requiere verificar algunos requisitos: 1º) la omisión de la elección o su trámite debe ser producto de una acción arbitraria por parte de las autoridades accionadas; pero, como se dijo en los puntos previos, ello debe comportar una violación o amenaza fehaciente y grave de los derechos fundamentales de los accionantes legitimados, que pueda concretarse en la producción de un perjuicio irremediable. En estos supuestos, la acción de tutela buscaría que el procedimiento de elección del funcionario sea encauzado de forma preventiva para evitar actuaciones irregulares desde la perspectiva constitucional.</w:t>
      </w:r>
    </w:p>
    <w:p w:rsidR="008124E9" w:rsidRPr="008124E9" w:rsidRDefault="008124E9" w:rsidP="008124E9">
      <w:pPr>
        <w:jc w:val="both"/>
        <w:rPr>
          <w:rFonts w:ascii="Bookman Old Style" w:eastAsia="Times New Roman" w:hAnsi="Bookman Old Style" w:cs="Times New Roman"/>
          <w:color w:val="000000"/>
          <w:sz w:val="24"/>
          <w:szCs w:val="24"/>
          <w:lang w:eastAsia="es-CO"/>
        </w:rPr>
      </w:pPr>
    </w:p>
    <w:p w:rsidR="008124E9" w:rsidRPr="008124E9" w:rsidRDefault="008124E9" w:rsidP="008124E9">
      <w:pPr>
        <w:jc w:val="both"/>
        <w:rPr>
          <w:rFonts w:ascii="Bookman Old Style" w:eastAsia="Times New Roman" w:hAnsi="Bookman Old Style" w:cs="Times New Roman"/>
          <w:color w:val="000000"/>
          <w:sz w:val="24"/>
          <w:szCs w:val="24"/>
          <w:lang w:eastAsia="es-CO"/>
        </w:rPr>
      </w:pPr>
      <w:r w:rsidRPr="008124E9">
        <w:rPr>
          <w:rFonts w:ascii="Bookman Old Style" w:eastAsia="Times New Roman" w:hAnsi="Bookman Old Style" w:cs="Times New Roman"/>
          <w:color w:val="000000"/>
          <w:sz w:val="24"/>
          <w:szCs w:val="24"/>
          <w:lang w:eastAsia="es-CO"/>
        </w:rPr>
        <w:t>2º) El trámite de la corporación debe resolver un asunto que se defina en una decisión final. Para el caso en estudio, esta sería la elección definitiva o final del Fiscal General de la Nación. Aspecto que se cumple.</w:t>
      </w:r>
    </w:p>
    <w:p w:rsidR="008124E9" w:rsidRPr="008124E9" w:rsidRDefault="008124E9" w:rsidP="008124E9">
      <w:pPr>
        <w:jc w:val="both"/>
        <w:rPr>
          <w:rFonts w:ascii="Bookman Old Style" w:eastAsia="Times New Roman" w:hAnsi="Bookman Old Style" w:cs="Times New Roman"/>
          <w:color w:val="000000"/>
          <w:sz w:val="24"/>
          <w:szCs w:val="24"/>
          <w:lang w:eastAsia="es-CO"/>
        </w:rPr>
      </w:pPr>
    </w:p>
    <w:p w:rsidR="008124E9" w:rsidRPr="008124E9" w:rsidRDefault="008124E9" w:rsidP="008124E9">
      <w:pPr>
        <w:jc w:val="both"/>
        <w:rPr>
          <w:rFonts w:ascii="Bookman Old Style" w:eastAsia="Times New Roman" w:hAnsi="Bookman Old Style" w:cs="Times New Roman"/>
          <w:color w:val="000000"/>
          <w:sz w:val="24"/>
          <w:szCs w:val="24"/>
          <w:lang w:eastAsia="es-CO"/>
        </w:rPr>
      </w:pPr>
      <w:r w:rsidRPr="008124E9">
        <w:rPr>
          <w:rFonts w:ascii="Bookman Old Style" w:eastAsia="Times New Roman" w:hAnsi="Bookman Old Style" w:cs="Times New Roman"/>
          <w:color w:val="000000"/>
          <w:sz w:val="24"/>
          <w:szCs w:val="24"/>
          <w:lang w:eastAsia="es-CO"/>
        </w:rPr>
        <w:t>3°) Finalmente, la acción de tutela debió ser presentada antes de que se defina el procedimiento de trámite mediante el acto definitivo de elección del Fiscal General de la Nación. Aspecto de inmediatez que también se satisface en este caso.</w:t>
      </w:r>
    </w:p>
    <w:p w:rsidR="008124E9" w:rsidRPr="008124E9" w:rsidRDefault="008124E9" w:rsidP="008124E9">
      <w:pPr>
        <w:jc w:val="both"/>
        <w:rPr>
          <w:rFonts w:ascii="Bookman Old Style" w:eastAsia="Times New Roman" w:hAnsi="Bookman Old Style" w:cs="Times New Roman"/>
          <w:color w:val="000000"/>
          <w:sz w:val="24"/>
          <w:szCs w:val="24"/>
          <w:lang w:eastAsia="es-CO"/>
        </w:rPr>
      </w:pPr>
    </w:p>
    <w:p w:rsidR="008124E9" w:rsidRPr="008124E9" w:rsidRDefault="008124E9" w:rsidP="008124E9">
      <w:pPr>
        <w:jc w:val="both"/>
        <w:rPr>
          <w:rFonts w:ascii="Bookman Old Style" w:eastAsia="Times New Roman" w:hAnsi="Bookman Old Style" w:cs="Times New Roman"/>
          <w:color w:val="000000"/>
          <w:sz w:val="24"/>
          <w:szCs w:val="24"/>
          <w:lang w:eastAsia="es-CO"/>
        </w:rPr>
      </w:pPr>
      <w:r w:rsidRPr="008124E9">
        <w:rPr>
          <w:rFonts w:ascii="Bookman Old Style" w:eastAsia="Times New Roman" w:hAnsi="Bookman Old Style" w:cs="Times New Roman"/>
          <w:color w:val="000000"/>
          <w:sz w:val="24"/>
          <w:szCs w:val="24"/>
          <w:lang w:eastAsia="es-CO"/>
        </w:rPr>
        <w:t>De esta manera, el aspecto que cuestiona la Sala de Conjueces para afirmar que la presente acción de tutela cumple con el requisito de subsidiaridad, tiene que ver con el hecho de que no se advierte que el procedimiento electoral desarrollado por la Sala Plena de la Corte Suprema de Justicia pueda afectar o amenace de manera grave, más allá de intereses generales o abstractos, derechos fundamentales ciertos y explícitos del accionante; cuestión que además no ha sido demostrada por él y que se ha abordado en acápites anteriores.</w:t>
      </w:r>
    </w:p>
    <w:p w:rsidR="008124E9" w:rsidRPr="008124E9" w:rsidRDefault="008124E9" w:rsidP="008124E9">
      <w:pPr>
        <w:jc w:val="both"/>
        <w:rPr>
          <w:rFonts w:ascii="Bookman Old Style" w:eastAsia="Times New Roman" w:hAnsi="Bookman Old Style" w:cs="Times New Roman"/>
          <w:color w:val="000000"/>
          <w:sz w:val="24"/>
          <w:szCs w:val="24"/>
          <w:lang w:eastAsia="es-CO"/>
        </w:rPr>
      </w:pPr>
    </w:p>
    <w:p w:rsidR="008124E9" w:rsidRPr="008124E9" w:rsidRDefault="008124E9" w:rsidP="008124E9">
      <w:pPr>
        <w:jc w:val="both"/>
        <w:rPr>
          <w:rFonts w:ascii="Bookman Old Style" w:eastAsia="Times New Roman" w:hAnsi="Bookman Old Style" w:cs="Times New Roman"/>
          <w:color w:val="000000"/>
          <w:sz w:val="24"/>
          <w:szCs w:val="24"/>
          <w:lang w:eastAsia="es-CO"/>
        </w:rPr>
      </w:pPr>
      <w:r w:rsidRPr="008124E9">
        <w:rPr>
          <w:rFonts w:ascii="Bookman Old Style" w:eastAsia="Times New Roman" w:hAnsi="Bookman Old Style" w:cs="Times New Roman"/>
          <w:color w:val="000000"/>
          <w:sz w:val="24"/>
          <w:szCs w:val="24"/>
          <w:lang w:eastAsia="es-CO"/>
        </w:rPr>
        <w:t>Sería un acto temerario e irresponsable de esta Sala afirmar que el tiempo que ha tomado el trámite de elección del próximo Fiscal General de la Nación, dentro del procedimiento electoral que se surte actualmente, sea el resultado de dilaciones arbitrarias, engañosas o injustificadas por parte de la Sala Plena de la Corte Suprema de Justicia.</w:t>
      </w:r>
    </w:p>
    <w:p w:rsidR="008124E9" w:rsidRPr="008124E9" w:rsidRDefault="008124E9" w:rsidP="008124E9">
      <w:pPr>
        <w:jc w:val="both"/>
        <w:rPr>
          <w:rFonts w:ascii="Bookman Old Style" w:eastAsia="Times New Roman" w:hAnsi="Bookman Old Style" w:cs="Times New Roman"/>
          <w:color w:val="000000"/>
          <w:sz w:val="24"/>
          <w:szCs w:val="24"/>
          <w:lang w:eastAsia="es-CO"/>
        </w:rPr>
      </w:pPr>
    </w:p>
    <w:p w:rsidR="008124E9" w:rsidRPr="008124E9" w:rsidRDefault="008124E9" w:rsidP="008124E9">
      <w:pPr>
        <w:jc w:val="both"/>
        <w:rPr>
          <w:rFonts w:ascii="Bookman Old Style" w:eastAsia="Times New Roman" w:hAnsi="Bookman Old Style" w:cs="Times New Roman"/>
          <w:color w:val="000000"/>
          <w:sz w:val="24"/>
          <w:szCs w:val="24"/>
          <w:lang w:eastAsia="es-CO"/>
        </w:rPr>
      </w:pPr>
      <w:r w:rsidRPr="008124E9">
        <w:rPr>
          <w:rFonts w:ascii="Bookman Old Style" w:eastAsia="Times New Roman" w:hAnsi="Bookman Old Style" w:cs="Times New Roman"/>
          <w:color w:val="000000"/>
          <w:sz w:val="24"/>
          <w:szCs w:val="24"/>
          <w:lang w:eastAsia="es-CO"/>
        </w:rPr>
        <w:t>Por el contrario, para esta Sala de Conjueces, el procedimiento de elección del Fiscal General de la Nación se ha ajustado cabalmente a las reglas fijadas en la Constitución, la Ley 270 de 1996 “Estatutaria de la Administración de Justicia”, y el Reglamento General de la Corporación, de conformidad con lo decidido en la sesión extraordinaria celebrada el 31 de octubre de 2023, mediante el Acuerdo No. 2114 de 2023; justamente, para que la elección del funcionario sea un acto válido y legítimo de cara a la voluntad de la corporación colegiada. Al respecto, se puede observar que:</w:t>
      </w:r>
    </w:p>
    <w:p w:rsidR="008124E9" w:rsidRPr="008124E9" w:rsidRDefault="008124E9" w:rsidP="008124E9">
      <w:pPr>
        <w:jc w:val="both"/>
        <w:rPr>
          <w:rFonts w:ascii="Bookman Old Style" w:eastAsia="Times New Roman" w:hAnsi="Bookman Old Style" w:cs="Times New Roman"/>
          <w:color w:val="000000"/>
          <w:sz w:val="24"/>
          <w:szCs w:val="24"/>
          <w:lang w:eastAsia="es-CO"/>
        </w:rPr>
      </w:pPr>
    </w:p>
    <w:p w:rsidR="008124E9" w:rsidRPr="008124E9" w:rsidRDefault="008124E9" w:rsidP="008124E9">
      <w:pPr>
        <w:jc w:val="both"/>
        <w:rPr>
          <w:rFonts w:ascii="Bookman Old Style" w:eastAsia="Times New Roman" w:hAnsi="Bookman Old Style" w:cs="Times New Roman"/>
          <w:color w:val="000000"/>
          <w:sz w:val="24"/>
          <w:szCs w:val="24"/>
          <w:lang w:eastAsia="es-CO"/>
        </w:rPr>
      </w:pPr>
      <w:r w:rsidRPr="008124E9">
        <w:rPr>
          <w:rFonts w:ascii="Bookman Old Style" w:eastAsia="Times New Roman" w:hAnsi="Bookman Old Style" w:cs="Times New Roman"/>
          <w:color w:val="000000"/>
          <w:sz w:val="24"/>
          <w:szCs w:val="24"/>
          <w:lang w:eastAsia="es-CO"/>
        </w:rPr>
        <w:lastRenderedPageBreak/>
        <w:t>Primero, la Corte Suprema de Justicia ha cumplido el deber de establecer los protocolos y procedimientos necesarios para la adecuada la elección de la próxima Fiscal General de la Nación (período 2024-2028), mediante el acuerdo 2114 de 2023, mod. parcialmente por el acuerdo 2117 de 2024. Protocolos que se han cumplido hasta el momento por parte de la Sala Plena.</w:t>
      </w:r>
    </w:p>
    <w:p w:rsidR="008124E9" w:rsidRPr="008124E9" w:rsidRDefault="008124E9" w:rsidP="008124E9">
      <w:pPr>
        <w:jc w:val="both"/>
        <w:rPr>
          <w:rFonts w:ascii="Bookman Old Style" w:eastAsia="Times New Roman" w:hAnsi="Bookman Old Style" w:cs="Times New Roman"/>
          <w:color w:val="000000"/>
          <w:sz w:val="24"/>
          <w:szCs w:val="24"/>
          <w:lang w:eastAsia="es-CO"/>
        </w:rPr>
      </w:pPr>
    </w:p>
    <w:p w:rsidR="008124E9" w:rsidRPr="008124E9" w:rsidRDefault="008124E9" w:rsidP="008124E9">
      <w:pPr>
        <w:jc w:val="both"/>
        <w:rPr>
          <w:rFonts w:ascii="Bookman Old Style" w:eastAsia="Times New Roman" w:hAnsi="Bookman Old Style" w:cs="Times New Roman"/>
          <w:color w:val="000000"/>
          <w:sz w:val="24"/>
          <w:szCs w:val="24"/>
          <w:lang w:eastAsia="es-CO"/>
        </w:rPr>
      </w:pPr>
      <w:r w:rsidRPr="008124E9">
        <w:rPr>
          <w:rFonts w:ascii="Bookman Old Style" w:eastAsia="Times New Roman" w:hAnsi="Bookman Old Style" w:cs="Times New Roman"/>
          <w:color w:val="000000"/>
          <w:sz w:val="24"/>
          <w:szCs w:val="24"/>
          <w:lang w:eastAsia="es-CO"/>
        </w:rPr>
        <w:t>Segundo, el procedimiento de trámite durante la elección se ha llevado de forma razonable, sin que se haya acreditado probatoriamente una mora injustificada dada la complejidad del asunto y el funcionamiento de la Corte Suprema de Justicia, y se ha respetado la obligación de proferir una decisión plural basada en el número de deliberaciones y valoraciones que resulten indispensables para alcanzar el quorum calificado requerido para la elección del Fiscal General de la Nación, según el Reglamento Interno de la Corte (Acuerdo 006 de 2002). Una decisión que, dada su naturaleza, resulta de resulta de vital importancia para el país.</w:t>
      </w:r>
    </w:p>
    <w:p w:rsidR="008124E9" w:rsidRPr="008124E9" w:rsidRDefault="008124E9" w:rsidP="008124E9">
      <w:pPr>
        <w:jc w:val="both"/>
        <w:rPr>
          <w:rFonts w:ascii="Bookman Old Style" w:eastAsia="Times New Roman" w:hAnsi="Bookman Old Style" w:cs="Times New Roman"/>
          <w:color w:val="000000"/>
          <w:sz w:val="24"/>
          <w:szCs w:val="24"/>
          <w:lang w:eastAsia="es-CO"/>
        </w:rPr>
      </w:pPr>
    </w:p>
    <w:p w:rsidR="008124E9" w:rsidRPr="008124E9" w:rsidRDefault="008124E9" w:rsidP="008124E9">
      <w:pPr>
        <w:jc w:val="both"/>
        <w:rPr>
          <w:rFonts w:ascii="Bookman Old Style" w:eastAsia="Times New Roman" w:hAnsi="Bookman Old Style" w:cs="Times New Roman"/>
          <w:color w:val="000000"/>
          <w:sz w:val="24"/>
          <w:szCs w:val="24"/>
          <w:lang w:eastAsia="es-CO"/>
        </w:rPr>
      </w:pPr>
      <w:r w:rsidRPr="008124E9">
        <w:rPr>
          <w:rFonts w:ascii="Bookman Old Style" w:eastAsia="Times New Roman" w:hAnsi="Bookman Old Style" w:cs="Times New Roman"/>
          <w:color w:val="000000"/>
          <w:sz w:val="24"/>
          <w:szCs w:val="24"/>
          <w:lang w:eastAsia="es-CO"/>
        </w:rPr>
        <w:t>Además, en este caso no resulta posible instrumentalizar la acción de tutela como un mecanismo idóneo o alternativo que desconozca el procedimiento democrático, razonado y discrecional que regula la elección del Fiscal General de la Nación para forzar consensos o lograr mayorías y, finalmente, obligar a la jurisdicción ordinaria a tomar una decisión inmediata y definitiva.</w:t>
      </w:r>
    </w:p>
    <w:p w:rsidR="008124E9" w:rsidRPr="008124E9" w:rsidRDefault="008124E9" w:rsidP="008124E9">
      <w:pPr>
        <w:jc w:val="both"/>
        <w:rPr>
          <w:rFonts w:ascii="Bookman Old Style" w:eastAsia="Times New Roman" w:hAnsi="Bookman Old Style" w:cs="Times New Roman"/>
          <w:color w:val="000000"/>
          <w:sz w:val="24"/>
          <w:szCs w:val="24"/>
          <w:lang w:eastAsia="es-CO"/>
        </w:rPr>
      </w:pPr>
    </w:p>
    <w:p w:rsidR="008124E9" w:rsidRPr="008124E9" w:rsidRDefault="008124E9" w:rsidP="008124E9">
      <w:pPr>
        <w:jc w:val="both"/>
        <w:rPr>
          <w:rFonts w:ascii="Bookman Old Style" w:eastAsia="Times New Roman" w:hAnsi="Bookman Old Style" w:cs="Times New Roman"/>
          <w:color w:val="000000"/>
          <w:sz w:val="24"/>
          <w:szCs w:val="24"/>
          <w:lang w:eastAsia="es-CO"/>
        </w:rPr>
      </w:pPr>
      <w:r w:rsidRPr="008124E9">
        <w:rPr>
          <w:rFonts w:ascii="Bookman Old Style" w:eastAsia="Times New Roman" w:hAnsi="Bookman Old Style" w:cs="Times New Roman"/>
          <w:color w:val="000000"/>
          <w:sz w:val="24"/>
          <w:szCs w:val="24"/>
          <w:lang w:eastAsia="es-CO"/>
        </w:rPr>
        <w:t>En tal hipótesis, el acto administrativo que decidiría la elección del Fiscal General de la Nación sería arbitrario y contrario a derecho, pues habrían sido afectadas las facultades discrecionales de la colegiatura, se impediría la libre expresión de sus magistrados a través de votos ponderados, y se desconocerían la independencia y autonomía judicial que le asisten a la Sala Plena de la Corte Suprema de Justicia, en el ejercicio de sus funciones electorales. La tutela no es un mecanismo principal que sirva para resolver de forma alternativa y sumaria conflictos que son competencia de la jurisdicción ordinaria, y que ésta tramita conforme a sus procedimientos especializados, garantizando la seguridad jurídica.</w:t>
      </w:r>
    </w:p>
    <w:p w:rsidR="008124E9" w:rsidRPr="008124E9" w:rsidRDefault="008124E9" w:rsidP="008124E9">
      <w:pPr>
        <w:jc w:val="both"/>
        <w:rPr>
          <w:rFonts w:ascii="Bookman Old Style" w:eastAsia="Times New Roman" w:hAnsi="Bookman Old Style" w:cs="Times New Roman"/>
          <w:color w:val="000000"/>
          <w:sz w:val="24"/>
          <w:szCs w:val="24"/>
          <w:lang w:eastAsia="es-CO"/>
        </w:rPr>
      </w:pPr>
    </w:p>
    <w:p w:rsidR="008124E9" w:rsidRPr="008124E9" w:rsidRDefault="008124E9" w:rsidP="008124E9">
      <w:pPr>
        <w:jc w:val="both"/>
        <w:rPr>
          <w:rFonts w:ascii="Bookman Old Style" w:eastAsia="Times New Roman" w:hAnsi="Bookman Old Style" w:cs="Times New Roman"/>
          <w:color w:val="000000"/>
          <w:sz w:val="24"/>
          <w:szCs w:val="24"/>
          <w:lang w:eastAsia="es-CO"/>
        </w:rPr>
      </w:pPr>
      <w:r w:rsidRPr="008124E9">
        <w:rPr>
          <w:rFonts w:ascii="Bookman Old Style" w:eastAsia="Times New Roman" w:hAnsi="Bookman Old Style" w:cs="Times New Roman"/>
          <w:color w:val="000000"/>
          <w:sz w:val="24"/>
          <w:szCs w:val="24"/>
          <w:lang w:eastAsia="es-CO"/>
        </w:rPr>
        <w:t>Sobre el particular, el Consejo de Estado también ha señalado que esta discrecionalidad no afecta las funciones electorales de la Colegiatura, ni impide que los magistrados pierdan la facultad de votar en blanco, considerando que es la Corporación quien toma la decisión final de elegir a una candidata como Fiscal General de la Nación y no cada uno de sus miembros.</w:t>
      </w:r>
    </w:p>
    <w:p w:rsidR="008124E9" w:rsidRPr="008124E9" w:rsidRDefault="008124E9" w:rsidP="008124E9">
      <w:pPr>
        <w:jc w:val="both"/>
        <w:rPr>
          <w:rFonts w:ascii="Bookman Old Style" w:eastAsia="Times New Roman" w:hAnsi="Bookman Old Style" w:cs="Times New Roman"/>
          <w:color w:val="000000"/>
          <w:sz w:val="24"/>
          <w:szCs w:val="24"/>
          <w:lang w:eastAsia="es-CO"/>
        </w:rPr>
      </w:pPr>
    </w:p>
    <w:p w:rsidR="008124E9" w:rsidRPr="008124E9" w:rsidRDefault="008124E9" w:rsidP="008124E9">
      <w:pPr>
        <w:jc w:val="both"/>
        <w:rPr>
          <w:rFonts w:ascii="Bookman Old Style" w:eastAsia="Times New Roman" w:hAnsi="Bookman Old Style" w:cs="Times New Roman"/>
          <w:color w:val="000000"/>
          <w:sz w:val="24"/>
          <w:szCs w:val="24"/>
          <w:lang w:eastAsia="es-CO"/>
        </w:rPr>
      </w:pPr>
      <w:r w:rsidRPr="008124E9">
        <w:rPr>
          <w:rFonts w:ascii="Bookman Old Style" w:eastAsia="Times New Roman" w:hAnsi="Bookman Old Style" w:cs="Times New Roman"/>
          <w:color w:val="000000"/>
          <w:sz w:val="24"/>
          <w:szCs w:val="24"/>
          <w:lang w:eastAsia="es-CO"/>
        </w:rPr>
        <w:t>Añádase que el efecto de que la función de Fiscal General de la Nación sea asumida por la Vicefiscal General en calidad de designada o encargada, no es el producto de una omisión o una vía de hecho contraria al artículo 249 de la Constitución por parte de la Corte Suprema de Justicia, como lo sugiere el accionante, sino que es el efecto legal que ordena el Decreto Ley 16 de 2014 (Diario Oficial No. 49.028 de 9 de enero de 2014), que su artículo 15, señala que “El Vicefiscal General de la Nación cumplirá las siguientes funciones: / 5. Reemplazar al Fiscal General de la Nación en sus ausencias temporales o definitivas. / En las ausencias temporales no se requerirá designación especial, si se trata de una ausencia definitiva, incluido el vencimiento del periodo, ejercerá el cargo hasta cuando el titular tome posesión del mismo” (énfasis propio).</w:t>
      </w:r>
    </w:p>
    <w:p w:rsidR="008124E9" w:rsidRPr="008124E9" w:rsidRDefault="008124E9" w:rsidP="008124E9">
      <w:pPr>
        <w:jc w:val="both"/>
        <w:rPr>
          <w:rFonts w:ascii="Bookman Old Style" w:eastAsia="Times New Roman" w:hAnsi="Bookman Old Style" w:cs="Times New Roman"/>
          <w:color w:val="000000"/>
          <w:sz w:val="24"/>
          <w:szCs w:val="24"/>
          <w:lang w:eastAsia="es-CO"/>
        </w:rPr>
      </w:pPr>
    </w:p>
    <w:p w:rsidR="008124E9" w:rsidRPr="008124E9" w:rsidRDefault="008124E9" w:rsidP="008124E9">
      <w:pPr>
        <w:jc w:val="both"/>
        <w:rPr>
          <w:rFonts w:ascii="Bookman Old Style" w:eastAsia="Times New Roman" w:hAnsi="Bookman Old Style" w:cs="Times New Roman"/>
          <w:color w:val="000000"/>
          <w:sz w:val="24"/>
          <w:szCs w:val="24"/>
          <w:lang w:eastAsia="es-CO"/>
        </w:rPr>
      </w:pPr>
      <w:r w:rsidRPr="008124E9">
        <w:rPr>
          <w:rFonts w:ascii="Bookman Old Style" w:eastAsia="Times New Roman" w:hAnsi="Bookman Old Style" w:cs="Times New Roman"/>
          <w:color w:val="000000"/>
          <w:sz w:val="24"/>
          <w:szCs w:val="24"/>
          <w:lang w:eastAsia="es-CO"/>
        </w:rPr>
        <w:t xml:space="preserve">De manera que la legislación ha previsto esta situación de interinidad por vencimiento del período del cargo aludido, sin que ello comporte una </w:t>
      </w:r>
      <w:r w:rsidRPr="008124E9">
        <w:rPr>
          <w:rFonts w:ascii="Bookman Old Style" w:eastAsia="Times New Roman" w:hAnsi="Bookman Old Style" w:cs="Times New Roman"/>
          <w:color w:val="000000"/>
          <w:sz w:val="24"/>
          <w:szCs w:val="24"/>
          <w:lang w:eastAsia="es-CO"/>
        </w:rPr>
        <w:lastRenderedPageBreak/>
        <w:t>violación constitucional durante el proceso de elección del Fiscal General de la Nación. Tampoco se advierte que la norma especifique un término expreso para dicha designación, aunque esto no significa que sea indefinida. En consecuencia, la acción de tutela tampoco resulta inmediata o idónea para evitar la designación de la Vicefiscal General de la Nación como Fiscal General encargada, como lo pretende el actor, pues para ello debe acudir a otros mecanismos administrativos que permitan controlar o discutir el ejercicio de la función pública que le corresponde a dicha funcionaria conforme a la ley.</w:t>
      </w:r>
    </w:p>
    <w:p w:rsidR="008124E9" w:rsidRPr="008124E9" w:rsidRDefault="008124E9" w:rsidP="008124E9">
      <w:pPr>
        <w:jc w:val="both"/>
        <w:rPr>
          <w:rFonts w:ascii="Bookman Old Style" w:eastAsia="Times New Roman" w:hAnsi="Bookman Old Style" w:cs="Times New Roman"/>
          <w:color w:val="000000"/>
          <w:sz w:val="24"/>
          <w:szCs w:val="24"/>
          <w:lang w:eastAsia="es-CO"/>
        </w:rPr>
      </w:pPr>
    </w:p>
    <w:p w:rsidR="008124E9" w:rsidRPr="008124E9" w:rsidRDefault="008124E9" w:rsidP="008124E9">
      <w:pPr>
        <w:jc w:val="both"/>
        <w:rPr>
          <w:rFonts w:ascii="Bookman Old Style" w:eastAsia="Times New Roman" w:hAnsi="Bookman Old Style" w:cs="Times New Roman"/>
          <w:color w:val="000000"/>
          <w:sz w:val="24"/>
          <w:szCs w:val="24"/>
          <w:lang w:eastAsia="es-CO"/>
        </w:rPr>
      </w:pPr>
      <w:r w:rsidRPr="008124E9">
        <w:rPr>
          <w:rFonts w:ascii="Bookman Old Style" w:eastAsia="Times New Roman" w:hAnsi="Bookman Old Style" w:cs="Times New Roman"/>
          <w:color w:val="000000"/>
          <w:sz w:val="24"/>
          <w:szCs w:val="24"/>
          <w:lang w:eastAsia="es-CO"/>
        </w:rPr>
        <w:t>Por tal motivo, para la Sala de Conjueces el requisito de subsidiariedad para que proceda la presente acción de tutela sobre actos administrativos de trámite electoral o para proteger el derecho a la paz, tampoco se satisface»</w:t>
      </w:r>
    </w:p>
    <w:p w:rsidR="008124E9" w:rsidRPr="008124E9" w:rsidRDefault="008124E9" w:rsidP="008124E9">
      <w:pPr>
        <w:jc w:val="both"/>
        <w:rPr>
          <w:rFonts w:ascii="Bookman Old Style" w:eastAsia="Times New Roman" w:hAnsi="Bookman Old Style" w:cs="Times New Roman"/>
          <w:color w:val="000000"/>
          <w:sz w:val="24"/>
          <w:szCs w:val="24"/>
          <w:lang w:eastAsia="es-CO"/>
        </w:rPr>
      </w:pPr>
    </w:p>
    <w:p w:rsidR="008124E9" w:rsidRPr="008124E9" w:rsidRDefault="008124E9" w:rsidP="008124E9">
      <w:pPr>
        <w:jc w:val="both"/>
        <w:rPr>
          <w:rFonts w:ascii="Bookman Old Style" w:eastAsia="Times New Roman" w:hAnsi="Bookman Old Style" w:cs="Times New Roman"/>
          <w:color w:val="000000"/>
          <w:sz w:val="24"/>
          <w:szCs w:val="24"/>
          <w:lang w:eastAsia="es-CO"/>
        </w:rPr>
      </w:pPr>
    </w:p>
    <w:p w:rsidR="008124E9" w:rsidRPr="008124E9" w:rsidRDefault="008124E9" w:rsidP="008124E9">
      <w:pPr>
        <w:jc w:val="both"/>
        <w:rPr>
          <w:rFonts w:ascii="Bookman Old Style" w:eastAsia="Times New Roman" w:hAnsi="Bookman Old Style" w:cs="Times New Roman"/>
          <w:color w:val="000000"/>
          <w:sz w:val="24"/>
          <w:szCs w:val="24"/>
          <w:lang w:eastAsia="es-CO"/>
        </w:rPr>
      </w:pPr>
      <w:r w:rsidRPr="008124E9">
        <w:rPr>
          <w:rFonts w:ascii="Bookman Old Style" w:eastAsia="Times New Roman" w:hAnsi="Bookman Old Style" w:cs="Times New Roman"/>
          <w:b/>
          <w:bCs/>
          <w:color w:val="7D3B05"/>
          <w:sz w:val="24"/>
          <w:szCs w:val="24"/>
          <w:lang w:eastAsia="es-CO"/>
        </w:rPr>
        <w:t>JURISPRUDENCIA RELACIONADA: </w:t>
      </w:r>
      <w:r w:rsidRPr="008124E9">
        <w:rPr>
          <w:rFonts w:ascii="Bookman Old Style" w:eastAsia="Times New Roman" w:hAnsi="Bookman Old Style" w:cs="Times New Roman"/>
          <w:color w:val="000000"/>
          <w:sz w:val="24"/>
          <w:szCs w:val="24"/>
          <w:lang w:eastAsia="es-CO"/>
        </w:rPr>
        <w:t>CC C-379 de 2016 CC T-058/2014 CC T-405 de 2018 CC T-268/2013 CC SU-333/2020 CE Sección Quinta, sentencia del 22 de octubre de 2009, radicación No. 11001-03-28-000-2008-00026-00; 11001-03-28-000-2008-00027-00 CE Sección Quinta, sentencia del 24 de septiembre de 2015, radicado 19001- 23-33-000-2015-00044-02 CE Sección Quinta, sentencia del 24 de agosto de 2001, radicado 11001-03-28-000-2001-0006-01</w:t>
      </w:r>
    </w:p>
    <w:p w:rsidR="008124E9" w:rsidRPr="008124E9" w:rsidRDefault="008124E9" w:rsidP="008124E9">
      <w:pPr>
        <w:rPr>
          <w:rFonts w:ascii="Bookman Old Style" w:eastAsia="Times New Roman" w:hAnsi="Bookman Old Style" w:cs="Times New Roman"/>
          <w:color w:val="000000"/>
          <w:sz w:val="24"/>
          <w:szCs w:val="24"/>
          <w:lang w:eastAsia="es-CO"/>
        </w:rPr>
      </w:pPr>
    </w:p>
    <w:p w:rsidR="004E581A" w:rsidRPr="008124E9" w:rsidRDefault="004E581A" w:rsidP="008124E9">
      <w:pPr>
        <w:rPr>
          <w:rFonts w:ascii="Bookman Old Style" w:hAnsi="Bookman Old Style"/>
          <w:sz w:val="24"/>
          <w:szCs w:val="24"/>
        </w:rPr>
      </w:pPr>
    </w:p>
    <w:sectPr w:rsidR="004E581A" w:rsidRPr="008124E9" w:rsidSect="00C859B4">
      <w:pgSz w:w="12242" w:h="18722" w:code="14"/>
      <w:pgMar w:top="1418" w:right="1701" w:bottom="1418" w:left="1701" w:header="709" w:footer="709" w:gutter="0"/>
      <w:paperSrc w:first="1" w:other="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24E9"/>
    <w:rsid w:val="0036550D"/>
    <w:rsid w:val="004E581A"/>
    <w:rsid w:val="008124E9"/>
    <w:rsid w:val="00901E70"/>
    <w:rsid w:val="00C859B4"/>
    <w:rsid w:val="00F610CA"/>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F7073A6-C4B7-4E3F-8D0C-C9C92C0434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36550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22454418">
      <w:bodyDiv w:val="1"/>
      <w:marLeft w:val="0"/>
      <w:marRight w:val="0"/>
      <w:marTop w:val="0"/>
      <w:marBottom w:val="0"/>
      <w:divBdr>
        <w:top w:val="none" w:sz="0" w:space="0" w:color="auto"/>
        <w:left w:val="none" w:sz="0" w:space="0" w:color="auto"/>
        <w:bottom w:val="none" w:sz="0" w:space="0" w:color="auto"/>
        <w:right w:val="none" w:sz="0" w:space="0" w:color="auto"/>
      </w:divBdr>
      <w:divsChild>
        <w:div w:id="394741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cortesuprema.gov.co/corte/wp-content/uploads/relatorias/tutelas/B%20MAY2024/STP2265-2024.docx" TargetMode="External"/><Relationship Id="rId4"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9</Pages>
  <Words>3735</Words>
  <Characters>20544</Characters>
  <Application>Microsoft Office Word</Application>
  <DocSecurity>0</DocSecurity>
  <Lines>171</Lines>
  <Paragraphs>48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Jorge Alexander Lopez Briceño</dc:creator>
  <cp:keywords/>
  <dc:description/>
  <cp:lastModifiedBy>Jorge Alexander Lopez Briceño</cp:lastModifiedBy>
  <cp:revision>2</cp:revision>
  <dcterms:created xsi:type="dcterms:W3CDTF">2024-04-26T20:09:00Z</dcterms:created>
  <dcterms:modified xsi:type="dcterms:W3CDTF">2024-04-26T20:17:00Z</dcterms:modified>
</cp:coreProperties>
</file>