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92E" w:rsidRPr="00A2592E" w:rsidRDefault="00A2592E" w:rsidP="00A2592E">
      <w:pPr>
        <w:jc w:val="cente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noProof/>
          <w:color w:val="000000"/>
          <w:sz w:val="24"/>
          <w:szCs w:val="24"/>
          <w:lang w:eastAsia="es-CO"/>
        </w:rPr>
        <w:drawing>
          <wp:inline distT="0" distB="0" distL="0" distR="0">
            <wp:extent cx="1390650" cy="1314450"/>
            <wp:effectExtent l="0" t="0" r="0" b="0"/>
            <wp:docPr id="1" name="Imagen 1" descr="http://190.217.24.13:8080/WebRelatoria/img/top_cs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0.217.24.13:8080/WebRelatoria/img/top_csj.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650" cy="1314450"/>
                    </a:xfrm>
                    <a:prstGeom prst="rect">
                      <a:avLst/>
                    </a:prstGeom>
                    <a:noFill/>
                    <a:ln>
                      <a:noFill/>
                    </a:ln>
                  </pic:spPr>
                </pic:pic>
              </a:graphicData>
            </a:graphic>
          </wp:inline>
        </w:drawing>
      </w:r>
    </w:p>
    <w:p w:rsidR="00A2592E" w:rsidRPr="00A2592E" w:rsidRDefault="00A2592E" w:rsidP="00A2592E">
      <w:pPr>
        <w:jc w:val="left"/>
        <w:rPr>
          <w:rFonts w:ascii="Bookman Old Style" w:eastAsia="Times New Roman" w:hAnsi="Bookman Old Style" w:cs="Times New Roman"/>
          <w:color w:val="000000"/>
          <w:sz w:val="24"/>
          <w:szCs w:val="24"/>
          <w:lang w:eastAsia="es-CO"/>
        </w:rPr>
      </w:pPr>
    </w:p>
    <w:p w:rsidR="00A2592E" w:rsidRPr="00A2592E" w:rsidRDefault="00A2592E" w:rsidP="00A2592E">
      <w:pPr>
        <w:jc w:val="left"/>
        <w:rPr>
          <w:rFonts w:ascii="Bookman Old Style" w:eastAsia="Times New Roman" w:hAnsi="Bookman Old Style" w:cs="Times New Roman"/>
          <w:sz w:val="24"/>
          <w:szCs w:val="24"/>
          <w:lang w:eastAsia="es-CO"/>
        </w:rPr>
      </w:pPr>
    </w:p>
    <w:p w:rsidR="00A2592E" w:rsidRPr="00A2592E" w:rsidRDefault="00A2592E" w:rsidP="00A2592E">
      <w:pPr>
        <w:jc w:val="cente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b/>
          <w:bCs/>
          <w:color w:val="000000"/>
          <w:sz w:val="24"/>
          <w:szCs w:val="24"/>
          <w:lang w:eastAsia="es-CO"/>
        </w:rPr>
        <w:t>TUTELA</w:t>
      </w:r>
    </w:p>
    <w:p w:rsidR="00A2592E" w:rsidRPr="00A2592E" w:rsidRDefault="00A2592E" w:rsidP="00A2592E">
      <w:pPr>
        <w:jc w:val="left"/>
        <w:rPr>
          <w:rFonts w:ascii="Bookman Old Style" w:eastAsia="Times New Roman" w:hAnsi="Bookman Old Style" w:cs="Times New Roman"/>
          <w:color w:val="000000"/>
          <w:sz w:val="24"/>
          <w:szCs w:val="24"/>
          <w:lang w:eastAsia="es-CO"/>
        </w:rPr>
      </w:pPr>
    </w:p>
    <w:p w:rsidR="00A2592E" w:rsidRPr="00A2592E" w:rsidRDefault="00A2592E" w:rsidP="00A2592E">
      <w:pPr>
        <w:jc w:val="left"/>
        <w:rPr>
          <w:rFonts w:ascii="Bookman Old Style" w:eastAsia="Times New Roman" w:hAnsi="Bookman Old Style" w:cs="Times New Roman"/>
          <w:sz w:val="24"/>
          <w:szCs w:val="24"/>
          <w:lang w:eastAsia="es-CO"/>
        </w:rPr>
      </w:pPr>
    </w:p>
    <w:p w:rsidR="00A2592E" w:rsidRPr="00A2592E" w:rsidRDefault="00A2592E" w:rsidP="00A2592E">
      <w:pPr>
        <w:jc w:val="cente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b/>
          <w:bCs/>
          <w:color w:val="000000"/>
          <w:sz w:val="24"/>
          <w:szCs w:val="24"/>
          <w:lang w:eastAsia="es-CO"/>
        </w:rPr>
        <w:t>REPORTE DE CONSULTA</w:t>
      </w:r>
    </w:p>
    <w:p w:rsidR="00A2592E" w:rsidRPr="00A2592E" w:rsidRDefault="00A2592E" w:rsidP="00A2592E">
      <w:pPr>
        <w:jc w:val="left"/>
        <w:rPr>
          <w:rFonts w:ascii="Bookman Old Style" w:eastAsia="Times New Roman" w:hAnsi="Bookman Old Style" w:cs="Times New Roman"/>
          <w:color w:val="000000"/>
          <w:sz w:val="24"/>
          <w:szCs w:val="24"/>
          <w:lang w:eastAsia="es-CO"/>
        </w:rPr>
      </w:pPr>
    </w:p>
    <w:p w:rsidR="00A2592E" w:rsidRPr="00A2592E" w:rsidRDefault="00A2592E" w:rsidP="00A2592E">
      <w:pPr>
        <w:jc w:val="left"/>
        <w:rPr>
          <w:rFonts w:ascii="Bookman Old Style" w:eastAsia="Times New Roman" w:hAnsi="Bookman Old Style" w:cs="Times New Roman"/>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2"/>
      </w:tblGrid>
      <w:tr w:rsidR="00A2592E" w:rsidRPr="00A2592E" w:rsidTr="00A2592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592E" w:rsidRPr="00A2592E" w:rsidRDefault="00A2592E" w:rsidP="00A2592E">
            <w:pPr>
              <w:shd w:val="clear" w:color="auto" w:fill="BBFFAA"/>
              <w:jc w:val="center"/>
              <w:divId w:val="30156337"/>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b/>
                <w:bCs/>
                <w:sz w:val="24"/>
                <w:szCs w:val="24"/>
                <w:lang w:eastAsia="es-CO"/>
              </w:rPr>
              <w:t>RELEVANTE</w:t>
            </w:r>
          </w:p>
          <w:p w:rsidR="00A2592E" w:rsidRPr="00A2592E" w:rsidRDefault="00A2592E" w:rsidP="00A2592E">
            <w:pPr>
              <w:jc w:val="left"/>
              <w:rPr>
                <w:rFonts w:ascii="Bookman Old Style" w:eastAsia="Times New Roman" w:hAnsi="Bookman Old Style" w:cs="Times New Roman"/>
                <w:sz w:val="24"/>
                <w:szCs w:val="24"/>
                <w:lang w:eastAsia="es-CO"/>
              </w:rPr>
            </w:pPr>
          </w:p>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b/>
                <w:bCs/>
                <w:sz w:val="24"/>
                <w:szCs w:val="24"/>
                <w:lang w:eastAsia="es-CO"/>
              </w:rPr>
              <w:t>SALA DE CASACIÓN LABORAL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5"/>
              <w:gridCol w:w="137"/>
              <w:gridCol w:w="4770"/>
            </w:tblGrid>
            <w:tr w:rsidR="00A2592E" w:rsidRPr="00A2592E">
              <w:trPr>
                <w:tblCellSpacing w:w="15" w:type="dxa"/>
              </w:trPr>
              <w:tc>
                <w:tcPr>
                  <w:tcW w:w="3750" w:type="dxa"/>
                  <w:hideMark/>
                </w:tcPr>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b/>
                      <w:bCs/>
                      <w:color w:val="7D3B05"/>
                      <w:sz w:val="24"/>
                      <w:szCs w:val="24"/>
                      <w:lang w:eastAsia="es-CO"/>
                    </w:rPr>
                    <w:t>ID</w:t>
                  </w:r>
                </w:p>
              </w:tc>
              <w:tc>
                <w:tcPr>
                  <w:tcW w:w="75" w:type="dxa"/>
                  <w:hideMark/>
                </w:tcPr>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sz w:val="24"/>
                      <w:szCs w:val="24"/>
                      <w:lang w:eastAsia="es-CO"/>
                    </w:rPr>
                    <w:t>:</w:t>
                  </w:r>
                </w:p>
              </w:tc>
              <w:tc>
                <w:tcPr>
                  <w:tcW w:w="0" w:type="auto"/>
                  <w:vAlign w:val="center"/>
                  <w:hideMark/>
                </w:tcPr>
                <w:p w:rsidR="00A2592E" w:rsidRPr="00A2592E" w:rsidRDefault="00A2592E" w:rsidP="00A2592E">
                  <w:pPr>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sz w:val="24"/>
                      <w:szCs w:val="24"/>
                      <w:lang w:eastAsia="es-CO"/>
                    </w:rPr>
                    <w:t>760478</w:t>
                  </w:r>
                </w:p>
              </w:tc>
            </w:tr>
            <w:tr w:rsidR="00A2592E" w:rsidRPr="00A2592E">
              <w:trPr>
                <w:tblCellSpacing w:w="15" w:type="dxa"/>
              </w:trPr>
              <w:tc>
                <w:tcPr>
                  <w:tcW w:w="3750" w:type="dxa"/>
                  <w:hideMark/>
                </w:tcPr>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b/>
                      <w:bCs/>
                      <w:color w:val="7D3B05"/>
                      <w:sz w:val="24"/>
                      <w:szCs w:val="24"/>
                      <w:lang w:eastAsia="es-CO"/>
                    </w:rPr>
                    <w:t>M. PONENTE</w:t>
                  </w:r>
                </w:p>
              </w:tc>
              <w:tc>
                <w:tcPr>
                  <w:tcW w:w="75" w:type="dxa"/>
                  <w:hideMark/>
                </w:tcPr>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sz w:val="24"/>
                      <w:szCs w:val="24"/>
                      <w:lang w:eastAsia="es-CO"/>
                    </w:rPr>
                    <w:t>:</w:t>
                  </w:r>
                </w:p>
              </w:tc>
              <w:tc>
                <w:tcPr>
                  <w:tcW w:w="0" w:type="auto"/>
                  <w:vAlign w:val="center"/>
                  <w:hideMark/>
                </w:tcPr>
                <w:p w:rsidR="00A2592E" w:rsidRPr="00A2592E" w:rsidRDefault="00A2592E" w:rsidP="00A2592E">
                  <w:pPr>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sz w:val="24"/>
                      <w:szCs w:val="24"/>
                      <w:lang w:eastAsia="es-CO"/>
                    </w:rPr>
                    <w:t>GERARDO BOTERO ZULUAGA</w:t>
                  </w:r>
                </w:p>
              </w:tc>
            </w:tr>
            <w:tr w:rsidR="00A2592E" w:rsidRPr="00A2592E">
              <w:trPr>
                <w:tblCellSpacing w:w="15" w:type="dxa"/>
              </w:trPr>
              <w:tc>
                <w:tcPr>
                  <w:tcW w:w="3750" w:type="dxa"/>
                  <w:hideMark/>
                </w:tcPr>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b/>
                      <w:bCs/>
                      <w:color w:val="7D3B05"/>
                      <w:sz w:val="24"/>
                      <w:szCs w:val="24"/>
                      <w:lang w:eastAsia="es-CO"/>
                    </w:rPr>
                    <w:t>NÚMERO DE PROCESO</w:t>
                  </w:r>
                </w:p>
              </w:tc>
              <w:tc>
                <w:tcPr>
                  <w:tcW w:w="75" w:type="dxa"/>
                  <w:hideMark/>
                </w:tcPr>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sz w:val="24"/>
                      <w:szCs w:val="24"/>
                      <w:lang w:eastAsia="es-CO"/>
                    </w:rPr>
                    <w:t>:</w:t>
                  </w:r>
                </w:p>
              </w:tc>
              <w:tc>
                <w:tcPr>
                  <w:tcW w:w="0" w:type="auto"/>
                  <w:vAlign w:val="center"/>
                  <w:hideMark/>
                </w:tcPr>
                <w:p w:rsidR="00A2592E" w:rsidRPr="00A2592E" w:rsidRDefault="00A2592E" w:rsidP="00A2592E">
                  <w:pPr>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sz w:val="24"/>
                      <w:szCs w:val="24"/>
                      <w:lang w:eastAsia="es-CO"/>
                    </w:rPr>
                    <w:t>T 96723</w:t>
                  </w:r>
                </w:p>
              </w:tc>
            </w:tr>
            <w:tr w:rsidR="00A2592E" w:rsidRPr="00A2592E">
              <w:trPr>
                <w:tblCellSpacing w:w="15" w:type="dxa"/>
              </w:trPr>
              <w:tc>
                <w:tcPr>
                  <w:tcW w:w="3750" w:type="dxa"/>
                  <w:hideMark/>
                </w:tcPr>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b/>
                      <w:bCs/>
                      <w:color w:val="7D3B05"/>
                      <w:sz w:val="24"/>
                      <w:szCs w:val="24"/>
                      <w:lang w:eastAsia="es-CO"/>
                    </w:rPr>
                    <w:t>NÚMERO DE PROVIDENCIA</w:t>
                  </w:r>
                </w:p>
              </w:tc>
              <w:tc>
                <w:tcPr>
                  <w:tcW w:w="75" w:type="dxa"/>
                  <w:hideMark/>
                </w:tcPr>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sz w:val="24"/>
                      <w:szCs w:val="24"/>
                      <w:lang w:eastAsia="es-CO"/>
                    </w:rPr>
                    <w:t>:</w:t>
                  </w:r>
                </w:p>
              </w:tc>
              <w:tc>
                <w:tcPr>
                  <w:tcW w:w="0" w:type="auto"/>
                  <w:vAlign w:val="center"/>
                  <w:hideMark/>
                </w:tcPr>
                <w:p w:rsidR="00A2592E" w:rsidRPr="00A2592E" w:rsidRDefault="00E434AE" w:rsidP="00A2592E">
                  <w:pPr>
                    <w:rPr>
                      <w:rFonts w:ascii="Bookman Old Style" w:eastAsia="Times New Roman" w:hAnsi="Bookman Old Style" w:cs="Times New Roman"/>
                      <w:sz w:val="24"/>
                      <w:szCs w:val="24"/>
                      <w:lang w:eastAsia="es-CO"/>
                    </w:rPr>
                  </w:pPr>
                  <w:hyperlink r:id="rId5" w:history="1">
                    <w:r w:rsidR="00A2592E" w:rsidRPr="00E434AE">
                      <w:rPr>
                        <w:rStyle w:val="Hipervnculo"/>
                        <w:rFonts w:ascii="Bookman Old Style" w:eastAsia="Times New Roman" w:hAnsi="Bookman Old Style" w:cs="Times New Roman"/>
                        <w:sz w:val="24"/>
                        <w:szCs w:val="24"/>
                        <w:lang w:eastAsia="es-CO"/>
                      </w:rPr>
                      <w:t>STL2476-2022</w:t>
                    </w:r>
                  </w:hyperlink>
                  <w:bookmarkStart w:id="0" w:name="_GoBack"/>
                  <w:bookmarkEnd w:id="0"/>
                </w:p>
              </w:tc>
            </w:tr>
            <w:tr w:rsidR="00A2592E" w:rsidRPr="00A2592E">
              <w:trPr>
                <w:tblCellSpacing w:w="15" w:type="dxa"/>
              </w:trPr>
              <w:tc>
                <w:tcPr>
                  <w:tcW w:w="3750" w:type="dxa"/>
                  <w:hideMark/>
                </w:tcPr>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b/>
                      <w:bCs/>
                      <w:color w:val="7D3B05"/>
                      <w:sz w:val="24"/>
                      <w:szCs w:val="24"/>
                      <w:lang w:eastAsia="es-CO"/>
                    </w:rPr>
                    <w:t>PROCEDENCIA</w:t>
                  </w:r>
                </w:p>
              </w:tc>
              <w:tc>
                <w:tcPr>
                  <w:tcW w:w="75" w:type="dxa"/>
                  <w:hideMark/>
                </w:tcPr>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sz w:val="24"/>
                      <w:szCs w:val="24"/>
                      <w:lang w:eastAsia="es-CO"/>
                    </w:rPr>
                    <w:t>:</w:t>
                  </w:r>
                </w:p>
              </w:tc>
              <w:tc>
                <w:tcPr>
                  <w:tcW w:w="0" w:type="auto"/>
                  <w:vAlign w:val="center"/>
                  <w:hideMark/>
                </w:tcPr>
                <w:p w:rsidR="00A2592E" w:rsidRPr="00A2592E" w:rsidRDefault="00A2592E" w:rsidP="00A2592E">
                  <w:pPr>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sz w:val="24"/>
                      <w:szCs w:val="24"/>
                      <w:lang w:eastAsia="es-CO"/>
                    </w:rPr>
                    <w:t>Corte Suprema de Justicia Sala de Casación Civil y Agraria</w:t>
                  </w:r>
                </w:p>
              </w:tc>
            </w:tr>
            <w:tr w:rsidR="00A2592E" w:rsidRPr="00A2592E">
              <w:trPr>
                <w:tblCellSpacing w:w="15" w:type="dxa"/>
              </w:trPr>
              <w:tc>
                <w:tcPr>
                  <w:tcW w:w="3750" w:type="dxa"/>
                  <w:hideMark/>
                </w:tcPr>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b/>
                      <w:bCs/>
                      <w:color w:val="7D3B05"/>
                      <w:sz w:val="24"/>
                      <w:szCs w:val="24"/>
                      <w:lang w:eastAsia="es-CO"/>
                    </w:rPr>
                    <w:t>CLASE DE ACTUACIÓN</w:t>
                  </w:r>
                </w:p>
              </w:tc>
              <w:tc>
                <w:tcPr>
                  <w:tcW w:w="75" w:type="dxa"/>
                  <w:hideMark/>
                </w:tcPr>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sz w:val="24"/>
                      <w:szCs w:val="24"/>
                      <w:lang w:eastAsia="es-CO"/>
                    </w:rPr>
                    <w:t>:</w:t>
                  </w:r>
                </w:p>
              </w:tc>
              <w:tc>
                <w:tcPr>
                  <w:tcW w:w="0" w:type="auto"/>
                  <w:vAlign w:val="center"/>
                  <w:hideMark/>
                </w:tcPr>
                <w:p w:rsidR="00A2592E" w:rsidRPr="00A2592E" w:rsidRDefault="00A2592E" w:rsidP="00A2592E">
                  <w:pPr>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sz w:val="24"/>
                      <w:szCs w:val="24"/>
                      <w:lang w:eastAsia="es-CO"/>
                    </w:rPr>
                    <w:t>ACCIÓN DE TUTELA - SEGUNDA INSTANCIA</w:t>
                  </w:r>
                </w:p>
              </w:tc>
            </w:tr>
            <w:tr w:rsidR="00A2592E" w:rsidRPr="00A2592E">
              <w:trPr>
                <w:tblCellSpacing w:w="15" w:type="dxa"/>
              </w:trPr>
              <w:tc>
                <w:tcPr>
                  <w:tcW w:w="3750" w:type="dxa"/>
                  <w:hideMark/>
                </w:tcPr>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b/>
                      <w:bCs/>
                      <w:color w:val="7D3B05"/>
                      <w:sz w:val="24"/>
                      <w:szCs w:val="24"/>
                      <w:lang w:eastAsia="es-CO"/>
                    </w:rPr>
                    <w:t>TIPO DE PROVIDENCIA</w:t>
                  </w:r>
                </w:p>
              </w:tc>
              <w:tc>
                <w:tcPr>
                  <w:tcW w:w="75" w:type="dxa"/>
                  <w:hideMark/>
                </w:tcPr>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sz w:val="24"/>
                      <w:szCs w:val="24"/>
                      <w:lang w:eastAsia="es-CO"/>
                    </w:rPr>
                    <w:t>:</w:t>
                  </w:r>
                </w:p>
              </w:tc>
              <w:tc>
                <w:tcPr>
                  <w:tcW w:w="0" w:type="auto"/>
                  <w:vAlign w:val="center"/>
                  <w:hideMark/>
                </w:tcPr>
                <w:p w:rsidR="00A2592E" w:rsidRPr="00A2592E" w:rsidRDefault="00A2592E" w:rsidP="00A2592E">
                  <w:pPr>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sz w:val="24"/>
                      <w:szCs w:val="24"/>
                      <w:lang w:eastAsia="es-CO"/>
                    </w:rPr>
                    <w:t>SENTENCIA</w:t>
                  </w:r>
                </w:p>
              </w:tc>
            </w:tr>
            <w:tr w:rsidR="00A2592E" w:rsidRPr="00A2592E">
              <w:trPr>
                <w:tblCellSpacing w:w="15" w:type="dxa"/>
              </w:trPr>
              <w:tc>
                <w:tcPr>
                  <w:tcW w:w="3750" w:type="dxa"/>
                  <w:hideMark/>
                </w:tcPr>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b/>
                      <w:bCs/>
                      <w:color w:val="7D3B05"/>
                      <w:sz w:val="24"/>
                      <w:szCs w:val="24"/>
                      <w:lang w:eastAsia="es-CO"/>
                    </w:rPr>
                    <w:t>FECHA</w:t>
                  </w:r>
                </w:p>
              </w:tc>
              <w:tc>
                <w:tcPr>
                  <w:tcW w:w="75" w:type="dxa"/>
                  <w:hideMark/>
                </w:tcPr>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sz w:val="24"/>
                      <w:szCs w:val="24"/>
                      <w:lang w:eastAsia="es-CO"/>
                    </w:rPr>
                    <w:t>:</w:t>
                  </w:r>
                </w:p>
              </w:tc>
              <w:tc>
                <w:tcPr>
                  <w:tcW w:w="0" w:type="auto"/>
                  <w:vAlign w:val="center"/>
                  <w:hideMark/>
                </w:tcPr>
                <w:p w:rsidR="00A2592E" w:rsidRPr="00A2592E" w:rsidRDefault="00A2592E" w:rsidP="00A2592E">
                  <w:pPr>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sz w:val="24"/>
                      <w:szCs w:val="24"/>
                      <w:lang w:eastAsia="es-CO"/>
                    </w:rPr>
                    <w:t>02/03/2022</w:t>
                  </w:r>
                </w:p>
              </w:tc>
            </w:tr>
            <w:tr w:rsidR="00A2592E" w:rsidRPr="00A2592E">
              <w:trPr>
                <w:tblCellSpacing w:w="15" w:type="dxa"/>
              </w:trPr>
              <w:tc>
                <w:tcPr>
                  <w:tcW w:w="3750" w:type="dxa"/>
                  <w:hideMark/>
                </w:tcPr>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b/>
                      <w:bCs/>
                      <w:color w:val="7D3B05"/>
                      <w:sz w:val="24"/>
                      <w:szCs w:val="24"/>
                      <w:lang w:eastAsia="es-CO"/>
                    </w:rPr>
                    <w:t>DECISIÓN</w:t>
                  </w:r>
                </w:p>
              </w:tc>
              <w:tc>
                <w:tcPr>
                  <w:tcW w:w="75" w:type="dxa"/>
                  <w:hideMark/>
                </w:tcPr>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sz w:val="24"/>
                      <w:szCs w:val="24"/>
                      <w:lang w:eastAsia="es-CO"/>
                    </w:rPr>
                    <w:t>:</w:t>
                  </w:r>
                </w:p>
              </w:tc>
              <w:tc>
                <w:tcPr>
                  <w:tcW w:w="0" w:type="auto"/>
                  <w:vAlign w:val="center"/>
                  <w:hideMark/>
                </w:tcPr>
                <w:p w:rsidR="00A2592E" w:rsidRPr="00A2592E" w:rsidRDefault="00A2592E" w:rsidP="00A2592E">
                  <w:pPr>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sz w:val="24"/>
                      <w:szCs w:val="24"/>
                      <w:lang w:eastAsia="es-CO"/>
                    </w:rPr>
                    <w:t>REVOCA CONCEDE TUTELA</w:t>
                  </w:r>
                </w:p>
              </w:tc>
            </w:tr>
            <w:tr w:rsidR="00A2592E" w:rsidRPr="00A2592E">
              <w:trPr>
                <w:tblCellSpacing w:w="15" w:type="dxa"/>
              </w:trPr>
              <w:tc>
                <w:tcPr>
                  <w:tcW w:w="3750" w:type="dxa"/>
                  <w:hideMark/>
                </w:tcPr>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b/>
                      <w:bCs/>
                      <w:color w:val="7D3B05"/>
                      <w:sz w:val="24"/>
                      <w:szCs w:val="24"/>
                      <w:lang w:eastAsia="es-CO"/>
                    </w:rPr>
                    <w:t>ACCIONADO</w:t>
                  </w:r>
                </w:p>
              </w:tc>
              <w:tc>
                <w:tcPr>
                  <w:tcW w:w="75" w:type="dxa"/>
                  <w:hideMark/>
                </w:tcPr>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sz w:val="24"/>
                      <w:szCs w:val="24"/>
                      <w:lang w:eastAsia="es-CO"/>
                    </w:rPr>
                    <w:t>:</w:t>
                  </w:r>
                </w:p>
              </w:tc>
              <w:tc>
                <w:tcPr>
                  <w:tcW w:w="0" w:type="auto"/>
                  <w:vAlign w:val="center"/>
                  <w:hideMark/>
                </w:tcPr>
                <w:p w:rsidR="00A2592E" w:rsidRPr="00A2592E" w:rsidRDefault="00A2592E" w:rsidP="00A2592E">
                  <w:pPr>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sz w:val="24"/>
                      <w:szCs w:val="24"/>
                      <w:lang w:eastAsia="es-CO"/>
                    </w:rPr>
                    <w:t>SALA CIVIL – FAMILIA – LABORAL DEL TRIBUNAL SUPERIOR DEL DISTRITO JUDICIAL DE VILLAVICENCIO / JUZGADO PRIMERO CIVIL DE VILLAVICENCIO</w:t>
                  </w:r>
                </w:p>
              </w:tc>
            </w:tr>
            <w:tr w:rsidR="00A2592E" w:rsidRPr="00A2592E">
              <w:trPr>
                <w:tblCellSpacing w:w="15" w:type="dxa"/>
              </w:trPr>
              <w:tc>
                <w:tcPr>
                  <w:tcW w:w="3750" w:type="dxa"/>
                  <w:hideMark/>
                </w:tcPr>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b/>
                      <w:bCs/>
                      <w:color w:val="7D3B05"/>
                      <w:sz w:val="24"/>
                      <w:szCs w:val="24"/>
                      <w:lang w:eastAsia="es-CO"/>
                    </w:rPr>
                    <w:t>ACCIONANTE</w:t>
                  </w:r>
                </w:p>
              </w:tc>
              <w:tc>
                <w:tcPr>
                  <w:tcW w:w="75" w:type="dxa"/>
                  <w:hideMark/>
                </w:tcPr>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sz w:val="24"/>
                      <w:szCs w:val="24"/>
                      <w:lang w:eastAsia="es-CO"/>
                    </w:rPr>
                    <w:t>:</w:t>
                  </w:r>
                </w:p>
              </w:tc>
              <w:tc>
                <w:tcPr>
                  <w:tcW w:w="0" w:type="auto"/>
                  <w:vAlign w:val="center"/>
                  <w:hideMark/>
                </w:tcPr>
                <w:p w:rsidR="00A2592E" w:rsidRPr="00A2592E" w:rsidRDefault="00A2592E" w:rsidP="00A2592E">
                  <w:pPr>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sz w:val="24"/>
                      <w:szCs w:val="24"/>
                      <w:lang w:eastAsia="es-CO"/>
                    </w:rPr>
                    <w:t>ECOPETROL S.A.</w:t>
                  </w:r>
                </w:p>
              </w:tc>
            </w:tr>
            <w:tr w:rsidR="00A2592E" w:rsidRPr="00A2592E">
              <w:trPr>
                <w:tblCellSpacing w:w="15" w:type="dxa"/>
              </w:trPr>
              <w:tc>
                <w:tcPr>
                  <w:tcW w:w="3750" w:type="dxa"/>
                  <w:hideMark/>
                </w:tcPr>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b/>
                      <w:bCs/>
                      <w:color w:val="7D3B05"/>
                      <w:sz w:val="24"/>
                      <w:szCs w:val="24"/>
                      <w:lang w:eastAsia="es-CO"/>
                    </w:rPr>
                    <w:t>ACTA n.º</w:t>
                  </w:r>
                </w:p>
              </w:tc>
              <w:tc>
                <w:tcPr>
                  <w:tcW w:w="75" w:type="dxa"/>
                  <w:hideMark/>
                </w:tcPr>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sz w:val="24"/>
                      <w:szCs w:val="24"/>
                      <w:lang w:eastAsia="es-CO"/>
                    </w:rPr>
                    <w:t>:</w:t>
                  </w:r>
                </w:p>
              </w:tc>
              <w:tc>
                <w:tcPr>
                  <w:tcW w:w="0" w:type="auto"/>
                  <w:vAlign w:val="center"/>
                  <w:hideMark/>
                </w:tcPr>
                <w:p w:rsidR="00A2592E" w:rsidRPr="00A2592E" w:rsidRDefault="00A2592E" w:rsidP="00A2592E">
                  <w:pPr>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sz w:val="24"/>
                      <w:szCs w:val="24"/>
                      <w:lang w:eastAsia="es-CO"/>
                    </w:rPr>
                    <w:t>07</w:t>
                  </w:r>
                </w:p>
              </w:tc>
            </w:tr>
            <w:tr w:rsidR="00A2592E" w:rsidRPr="00A2592E">
              <w:trPr>
                <w:tblCellSpacing w:w="15" w:type="dxa"/>
              </w:trPr>
              <w:tc>
                <w:tcPr>
                  <w:tcW w:w="3750" w:type="dxa"/>
                  <w:hideMark/>
                </w:tcPr>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b/>
                      <w:bCs/>
                      <w:color w:val="7D3B05"/>
                      <w:sz w:val="24"/>
                      <w:szCs w:val="24"/>
                      <w:lang w:eastAsia="es-CO"/>
                    </w:rPr>
                    <w:t>FUENTE FORMAL</w:t>
                  </w:r>
                </w:p>
              </w:tc>
              <w:tc>
                <w:tcPr>
                  <w:tcW w:w="75" w:type="dxa"/>
                  <w:hideMark/>
                </w:tcPr>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sz w:val="24"/>
                      <w:szCs w:val="24"/>
                      <w:lang w:eastAsia="es-CO"/>
                    </w:rPr>
                    <w:t>:</w:t>
                  </w:r>
                </w:p>
              </w:tc>
              <w:tc>
                <w:tcPr>
                  <w:tcW w:w="0" w:type="auto"/>
                  <w:vAlign w:val="center"/>
                  <w:hideMark/>
                </w:tcPr>
                <w:p w:rsidR="00A2592E" w:rsidRPr="00A2592E" w:rsidRDefault="00A2592E" w:rsidP="00A2592E">
                  <w:pPr>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sz w:val="24"/>
                      <w:szCs w:val="24"/>
                      <w:lang w:eastAsia="es-CO"/>
                    </w:rPr>
                    <w:t>Ley 1274 de 2009 art. 5 núm. 9</w:t>
                  </w:r>
                </w:p>
              </w:tc>
            </w:tr>
          </w:tbl>
          <w:p w:rsidR="00A2592E" w:rsidRPr="00A2592E" w:rsidRDefault="00A2592E" w:rsidP="00A2592E">
            <w:pPr>
              <w:jc w:val="left"/>
              <w:rPr>
                <w:rFonts w:ascii="Bookman Old Style" w:eastAsia="Times New Roman" w:hAnsi="Bookman Old Style" w:cs="Times New Roman"/>
                <w:sz w:val="24"/>
                <w:szCs w:val="24"/>
                <w:lang w:eastAsia="es-CO"/>
              </w:rPr>
            </w:pPr>
          </w:p>
        </w:tc>
      </w:tr>
    </w:tbl>
    <w:p w:rsidR="00A2592E" w:rsidRPr="00A2592E" w:rsidRDefault="00A2592E" w:rsidP="00A2592E">
      <w:pPr>
        <w:rPr>
          <w:rFonts w:ascii="Bookman Old Style" w:eastAsia="Times New Roman" w:hAnsi="Bookman Old Style" w:cs="Times New Roman"/>
          <w:vanish/>
          <w:color w:val="000000"/>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2"/>
      </w:tblGrid>
      <w:tr w:rsidR="00A2592E" w:rsidRPr="00A2592E" w:rsidTr="00A2592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592E" w:rsidRPr="00A2592E" w:rsidRDefault="00A2592E" w:rsidP="00A2592E">
            <w:pPr>
              <w:jc w:val="left"/>
              <w:rPr>
                <w:rFonts w:ascii="Bookman Old Style" w:eastAsia="Times New Roman" w:hAnsi="Bookman Old Style" w:cs="Times New Roman"/>
                <w:sz w:val="24"/>
                <w:szCs w:val="24"/>
                <w:lang w:eastAsia="es-CO"/>
              </w:rPr>
            </w:pPr>
          </w:p>
          <w:p w:rsidR="00A2592E" w:rsidRPr="00A2592E" w:rsidRDefault="00A2592E" w:rsidP="00A2592E">
            <w:pPr>
              <w:jc w:val="left"/>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b/>
                <w:bCs/>
                <w:color w:val="7D3B05"/>
                <w:sz w:val="24"/>
                <w:szCs w:val="24"/>
                <w:lang w:eastAsia="es-CO"/>
              </w:rPr>
              <w:t>ASUNTO:</w:t>
            </w:r>
          </w:p>
          <w:p w:rsidR="00A2592E" w:rsidRPr="00A2592E" w:rsidRDefault="00A2592E" w:rsidP="00A2592E">
            <w:pPr>
              <w:rPr>
                <w:rFonts w:ascii="Bookman Old Style" w:eastAsia="Times New Roman" w:hAnsi="Bookman Old Style" w:cs="Times New Roman"/>
                <w:sz w:val="24"/>
                <w:szCs w:val="24"/>
                <w:lang w:eastAsia="es-CO"/>
              </w:rPr>
            </w:pPr>
            <w:r w:rsidRPr="00A2592E">
              <w:rPr>
                <w:rFonts w:ascii="Bookman Old Style" w:eastAsia="Times New Roman" w:hAnsi="Bookman Old Style" w:cs="Times New Roman"/>
                <w:sz w:val="24"/>
                <w:szCs w:val="24"/>
                <w:lang w:eastAsia="es-CO"/>
              </w:rPr>
              <w:t xml:space="preserve">PROBLEMA JURÍDICO: ¿La Sala Civil – Familia – Laboral del Tribunal Superior del Distrito Judicial de Villavicencio y el Juzgado Primero Civil </w:t>
            </w:r>
            <w:r w:rsidRPr="00A2592E">
              <w:rPr>
                <w:rFonts w:ascii="Bookman Old Style" w:eastAsia="Times New Roman" w:hAnsi="Bookman Old Style" w:cs="Times New Roman"/>
                <w:sz w:val="24"/>
                <w:szCs w:val="24"/>
                <w:lang w:eastAsia="es-CO"/>
              </w:rPr>
              <w:lastRenderedPageBreak/>
              <w:t>vulneran el derecho al debido proceso de Ecopetrol S.A., al rechazar la demanda de revisión de avalúo de servidumbre de hidrocarburos por caducidad de la acción?</w:t>
            </w:r>
          </w:p>
          <w:p w:rsidR="00A2592E" w:rsidRPr="00A2592E" w:rsidRDefault="00A2592E" w:rsidP="00A2592E">
            <w:pPr>
              <w:jc w:val="left"/>
              <w:rPr>
                <w:rFonts w:ascii="Bookman Old Style" w:eastAsia="Times New Roman" w:hAnsi="Bookman Old Style" w:cs="Times New Roman"/>
                <w:sz w:val="24"/>
                <w:szCs w:val="24"/>
                <w:lang w:eastAsia="es-CO"/>
              </w:rPr>
            </w:pPr>
          </w:p>
        </w:tc>
      </w:tr>
    </w:tbl>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b/>
          <w:bCs/>
          <w:color w:val="7D3B05"/>
          <w:sz w:val="24"/>
          <w:szCs w:val="24"/>
          <w:lang w:eastAsia="es-CO"/>
        </w:rPr>
        <w:t>TEMA: </w:t>
      </w:r>
      <w:r w:rsidRPr="00A2592E">
        <w:rPr>
          <w:rFonts w:ascii="Bookman Old Style" w:eastAsia="Times New Roman" w:hAnsi="Bookman Old Style" w:cs="Times New Roman"/>
          <w:b/>
          <w:bCs/>
          <w:color w:val="000000"/>
          <w:sz w:val="24"/>
          <w:szCs w:val="24"/>
          <w:lang w:eastAsia="es-CO"/>
        </w:rPr>
        <w:t>ACCIÓN DE TUTELA</w:t>
      </w:r>
      <w:r w:rsidRPr="00A2592E">
        <w:rPr>
          <w:rFonts w:ascii="Bookman Old Style" w:eastAsia="Times New Roman" w:hAnsi="Bookman Old Style" w:cs="Times New Roman"/>
          <w:color w:val="000000"/>
          <w:sz w:val="24"/>
          <w:szCs w:val="24"/>
          <w:lang w:eastAsia="es-CO"/>
        </w:rPr>
        <w:t> - Procedencia de la acción</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b/>
          <w:bCs/>
          <w:color w:val="7D3B05"/>
          <w:sz w:val="24"/>
          <w:szCs w:val="24"/>
          <w:lang w:eastAsia="es-CO"/>
        </w:rPr>
      </w:pPr>
      <w:r w:rsidRPr="00A2592E">
        <w:rPr>
          <w:rFonts w:ascii="Bookman Old Style" w:eastAsia="Times New Roman" w:hAnsi="Bookman Old Style" w:cs="Times New Roman"/>
          <w:b/>
          <w:bCs/>
          <w:color w:val="7D3B05"/>
          <w:sz w:val="24"/>
          <w:szCs w:val="24"/>
          <w:lang w:eastAsia="es-CO"/>
        </w:rPr>
        <w:t>Tesis</w:t>
      </w:r>
      <w:r>
        <w:rPr>
          <w:rFonts w:ascii="Bookman Old Style" w:eastAsia="Times New Roman" w:hAnsi="Bookman Old Style" w:cs="Times New Roman"/>
          <w:b/>
          <w:bCs/>
          <w:color w:val="7D3B05"/>
          <w:sz w:val="24"/>
          <w:szCs w:val="24"/>
          <w:lang w:eastAsia="es-CO"/>
        </w:rPr>
        <w:t>:</w:t>
      </w: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color w:val="000000"/>
          <w:sz w:val="24"/>
          <w:szCs w:val="24"/>
          <w:lang w:eastAsia="es-CO"/>
        </w:rPr>
        <w:t>«El artículo 86 de la Constitución Política establece, que toda persona tiene la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color w:val="000000"/>
          <w:sz w:val="24"/>
          <w:szCs w:val="24"/>
          <w:lang w:eastAsia="es-CO"/>
        </w:rPr>
        <w:t>En el mismo sentido, el Decreto 2591 de 1991, artículo 1º, señala que “toda persona tendrá acción de tutela para reclamar ante los jueces, la protección inmediata de sus derechos constitucionales fundamentales, cuando quiera que estos resulten vulnerados por la acción o la omisión de cualquier autoridad pública o de los particulares en los casos que señale este decreto»</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b/>
          <w:bCs/>
          <w:color w:val="000000"/>
          <w:sz w:val="24"/>
          <w:szCs w:val="24"/>
          <w:lang w:eastAsia="es-CO"/>
        </w:rPr>
        <w:t>ACCIÓN DE TUTELA CONTRA PROVIDENCIA JUDICIAL</w:t>
      </w:r>
      <w:r w:rsidRPr="00A2592E">
        <w:rPr>
          <w:rFonts w:ascii="Bookman Old Style" w:eastAsia="Times New Roman" w:hAnsi="Bookman Old Style" w:cs="Times New Roman"/>
          <w:color w:val="000000"/>
          <w:sz w:val="24"/>
          <w:szCs w:val="24"/>
          <w:lang w:eastAsia="es-CO"/>
        </w:rPr>
        <w:t> - Cuando se cuestionan las providencias de las dos instancias, el estudio de la vulneración se limita a la providencia de segunda instancia</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b/>
          <w:bCs/>
          <w:color w:val="000000"/>
          <w:sz w:val="24"/>
          <w:szCs w:val="24"/>
          <w:lang w:eastAsia="es-CO"/>
        </w:rPr>
        <w:t>PROCESO DE AVALÚO DE SERVIDUMBRE DE HIDROCARBUROS</w:t>
      </w:r>
      <w:r w:rsidRPr="00A2592E">
        <w:rPr>
          <w:rFonts w:ascii="Bookman Old Style" w:eastAsia="Times New Roman" w:hAnsi="Bookman Old Style" w:cs="Times New Roman"/>
          <w:color w:val="000000"/>
          <w:sz w:val="24"/>
          <w:szCs w:val="24"/>
          <w:lang w:eastAsia="es-CO"/>
        </w:rPr>
        <w:t> - Solicitud de avalúo de perjuicios - Trámite - Término para solicitar la revisión del avalúo: cómputo</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b/>
          <w:bCs/>
          <w:color w:val="000000"/>
          <w:sz w:val="24"/>
          <w:szCs w:val="24"/>
          <w:lang w:eastAsia="es-CO"/>
        </w:rPr>
        <w:t>DERECHO AL DEBIDO PROCESO</w:t>
      </w:r>
      <w:r w:rsidRPr="00A2592E">
        <w:rPr>
          <w:rFonts w:ascii="Bookman Old Style" w:eastAsia="Times New Roman" w:hAnsi="Bookman Old Style" w:cs="Times New Roman"/>
          <w:color w:val="000000"/>
          <w:sz w:val="24"/>
          <w:szCs w:val="24"/>
          <w:lang w:eastAsia="es-CO"/>
        </w:rPr>
        <w:t> - Defecto procedimental por exceso ritual manifiesto: configuración (c. j.)</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b/>
          <w:bCs/>
          <w:color w:val="7D3B05"/>
          <w:sz w:val="24"/>
          <w:szCs w:val="24"/>
          <w:lang w:eastAsia="es-CO"/>
        </w:rPr>
      </w:pPr>
      <w:r w:rsidRPr="00A2592E">
        <w:rPr>
          <w:rFonts w:ascii="Bookman Old Style" w:eastAsia="Times New Roman" w:hAnsi="Bookman Old Style" w:cs="Times New Roman"/>
          <w:b/>
          <w:bCs/>
          <w:color w:val="7D3B05"/>
          <w:sz w:val="24"/>
          <w:szCs w:val="24"/>
          <w:lang w:eastAsia="es-CO"/>
        </w:rPr>
        <w:t>Tesis</w:t>
      </w:r>
      <w:r>
        <w:rPr>
          <w:rFonts w:ascii="Bookman Old Style" w:eastAsia="Times New Roman" w:hAnsi="Bookman Old Style" w:cs="Times New Roman"/>
          <w:b/>
          <w:bCs/>
          <w:color w:val="7D3B05"/>
          <w:sz w:val="24"/>
          <w:szCs w:val="24"/>
          <w:lang w:eastAsia="es-CO"/>
        </w:rPr>
        <w:t>:</w:t>
      </w: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color w:val="000000"/>
          <w:sz w:val="24"/>
          <w:szCs w:val="24"/>
          <w:lang w:eastAsia="es-CO"/>
        </w:rPr>
        <w:t>«Descendiendo al sub judice, la censura principal del asunto se relaciona con que se declare la nulidad de las decisiones adoptadas en los autos de fecha 26 de febrero, 12 de marzo y 26 de octubre de 2021, que respectivamente resolvieron: i) rechazar la demanda de revisión de avalúos; ii) no reponer el auto anterior y iii) confirmar el auto inicial.</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color w:val="000000"/>
          <w:sz w:val="24"/>
          <w:szCs w:val="24"/>
          <w:lang w:eastAsia="es-CO"/>
        </w:rPr>
        <w:t>Previo al estudio del presente asunto, este Colegiado hará la salvedad, que el análisis se cimentará en la última de las decisiones criticadas, puesto que, fue la que zanjó el debate que llama la atención en esta instancia.</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color w:val="000000"/>
          <w:sz w:val="24"/>
          <w:szCs w:val="24"/>
          <w:lang w:eastAsia="es-CO"/>
        </w:rPr>
        <w:lastRenderedPageBreak/>
        <w:t>Pues bien, esta Sala no comparte la decisión del a quo constitucional, que definió negar la acción de tutela, por cuanto la decisión del 26 de octubre de 2021, no luce arbitraria, ni antojadiza, y en esos términos, tuvo su sostén en los postulados citados en el acápite de trámite y decisión de instancia.</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color w:val="000000"/>
          <w:sz w:val="24"/>
          <w:szCs w:val="24"/>
          <w:lang w:eastAsia="es-CO"/>
        </w:rPr>
        <w:t>Lo anterior, por cuanto al revisar el expediente judicial se encontró, que pese a que la sentencia que conllevó a iniciar la demanda de revisión de avalúo de hidrocarburos, data del 18 de diciembre de 2020, dicha determinación solo fue notificada hasta el día 12 de enero de 2021, en el estado 001, que a folio 3, registra la notificación de la decisión adoptada al interior del proceso adelantado por Ecopetrol en contra de las allí demandadas.</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color w:val="000000"/>
          <w:sz w:val="24"/>
          <w:szCs w:val="24"/>
          <w:lang w:eastAsia="es-CO"/>
        </w:rPr>
        <w:t>Corolario, esta Sala no desconoce el término de caducidad para invocar la acción previamente citada, dispuesto en el numeral 9º del artículo 5º de la Ley 1274 de 2009, que a viva voz preceptúa, que “la revisión del mismo” deberá solicitarse “dentro del término de un (1) mes contado a partir de la fecha de la decisión del Juez Civil Municipal”; sin embargo, ese término no podría empezar a contarse desde la fecha de expedición de la sentencia, esa situación, abiertamente desconocería la garantía fundamental al debido proceso, de la que se desprende que todas las actuaciones deben ser notificadas para que se surta el trámite a que dé lugar.</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color w:val="000000"/>
          <w:sz w:val="24"/>
          <w:szCs w:val="24"/>
          <w:lang w:eastAsia="es-CO"/>
        </w:rPr>
        <w:t>De atenderse de manera literal la norma ibídem, se incurriría en un exceso de ritual manifiesto, que la Corte Constitucional ha entendido como aquellas formas “que tiene lugar cuando un funcionario utiliza o concibe los procedimientos como un obstáculo para la eficacia del derecho sustancial y por esa vía, sus actuaciones devienen en una denegación de justicia habida cuenta de que sacrifica el derecho de acceso a la administración de justicia y las garantías sustanciales, so pretexto de preferir el tenor literal de las formas procesales. En otras palabras, el juez asume una ciega obediencia a la ley procesal en abierto desconocimiento de los derechos sustanciales que le asisten a las partes en contienda” CC-T-234-2017»</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b/>
          <w:bCs/>
          <w:color w:val="000000"/>
          <w:sz w:val="24"/>
          <w:szCs w:val="24"/>
          <w:lang w:eastAsia="es-CO"/>
        </w:rPr>
        <w:t>DERECHO PROCESAL</w:t>
      </w:r>
      <w:r w:rsidRPr="00A2592E">
        <w:rPr>
          <w:rFonts w:ascii="Bookman Old Style" w:eastAsia="Times New Roman" w:hAnsi="Bookman Old Style" w:cs="Times New Roman"/>
          <w:color w:val="000000"/>
          <w:sz w:val="24"/>
          <w:szCs w:val="24"/>
          <w:lang w:eastAsia="es-CO"/>
        </w:rPr>
        <w:t> - Efecto y ejecución de las providencias: ejecutoria de las providencias judiciales (c. j.)</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b/>
          <w:bCs/>
          <w:color w:val="000000"/>
          <w:sz w:val="24"/>
          <w:szCs w:val="24"/>
          <w:lang w:eastAsia="es-CO"/>
        </w:rPr>
        <w:t>DERECHO PROCESAL</w:t>
      </w:r>
      <w:r w:rsidRPr="00A2592E">
        <w:rPr>
          <w:rFonts w:ascii="Bookman Old Style" w:eastAsia="Times New Roman" w:hAnsi="Bookman Old Style" w:cs="Times New Roman"/>
          <w:color w:val="000000"/>
          <w:sz w:val="24"/>
          <w:szCs w:val="24"/>
          <w:lang w:eastAsia="es-CO"/>
        </w:rPr>
        <w:t> - Notificación de las providencias judiciales (c. j.)</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b/>
          <w:bCs/>
          <w:color w:val="7D3B05"/>
          <w:sz w:val="24"/>
          <w:szCs w:val="24"/>
          <w:lang w:eastAsia="es-CO"/>
        </w:rPr>
      </w:pPr>
      <w:r w:rsidRPr="00A2592E">
        <w:rPr>
          <w:rFonts w:ascii="Bookman Old Style" w:eastAsia="Times New Roman" w:hAnsi="Bookman Old Style" w:cs="Times New Roman"/>
          <w:b/>
          <w:bCs/>
          <w:color w:val="7D3B05"/>
          <w:sz w:val="24"/>
          <w:szCs w:val="24"/>
          <w:lang w:eastAsia="es-CO"/>
        </w:rPr>
        <w:t>Tesis</w:t>
      </w:r>
      <w:r>
        <w:rPr>
          <w:rFonts w:ascii="Bookman Old Style" w:eastAsia="Times New Roman" w:hAnsi="Bookman Old Style" w:cs="Times New Roman"/>
          <w:b/>
          <w:bCs/>
          <w:color w:val="7D3B05"/>
          <w:sz w:val="24"/>
          <w:szCs w:val="24"/>
          <w:lang w:eastAsia="es-CO"/>
        </w:rPr>
        <w:t>:</w:t>
      </w: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color w:val="000000"/>
          <w:sz w:val="24"/>
          <w:szCs w:val="24"/>
          <w:lang w:eastAsia="es-CO"/>
        </w:rPr>
        <w:t>«Esta Sala en reciente sentencia de tutela CSJ STL4807-2021 del 28 de abril, al estudiar un caso de idénticas particularidades, advirtió:</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color w:val="000000"/>
          <w:sz w:val="24"/>
          <w:szCs w:val="24"/>
          <w:lang w:eastAsia="es-CO"/>
        </w:rPr>
        <w:t xml:space="preserve">“En ese orden de ideas, debe decirse que contrario a lo esgrimido por la homóloga Civil, la Sala considera que la solicitud de amparo está llamada a prosperar, toda vez que revisada la documentación allegada al plenario se observa, que las providencias dictadas en primer y segundo grado, por las </w:t>
      </w:r>
      <w:r w:rsidRPr="00A2592E">
        <w:rPr>
          <w:rFonts w:ascii="Bookman Old Style" w:eastAsia="Times New Roman" w:hAnsi="Bookman Old Style" w:cs="Times New Roman"/>
          <w:color w:val="000000"/>
          <w:sz w:val="24"/>
          <w:szCs w:val="24"/>
          <w:lang w:eastAsia="es-CO"/>
        </w:rPr>
        <w:lastRenderedPageBreak/>
        <w:t>cuales se mantuvo la decisión de rechazar de plano la demanda, se tornaron injustas y caprichosas, pues a los juzgadores no les era dable dar una aplicación exegética del núm. 9 del artículo 5 de la Ley 1274 de 2009, con abierta rebeldía a los principios de publicidad y acceso a la administración de justicia.</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color w:val="000000"/>
          <w:sz w:val="24"/>
          <w:szCs w:val="24"/>
          <w:lang w:eastAsia="es-CO"/>
        </w:rPr>
        <w:t>[…]</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color w:val="000000"/>
          <w:sz w:val="24"/>
          <w:szCs w:val="24"/>
          <w:lang w:eastAsia="es-CO"/>
        </w:rPr>
        <w:t>Lo anterior es de entender así, porque no puede desconocerse el inciso tercero del artículo 302 del Código General del Proceso, el cual dispone que las providencias: “[…] que sean proferidas por fuera de audiencia quedan ejecutoriadas tres (3) días después de notificadas, cuando carecen de recursos o han vencido los términos sin haberse interpuesto los recursos que fueren procedentes, o cuando queda ejecutoriada la providencia que resuelva los interpuestos”.</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color w:val="000000"/>
          <w:sz w:val="24"/>
          <w:szCs w:val="24"/>
          <w:lang w:eastAsia="es-CO"/>
        </w:rPr>
        <w:t>A su vez, el artículo 289 ibídem, establece que:</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color w:val="000000"/>
          <w:sz w:val="24"/>
          <w:szCs w:val="24"/>
          <w:lang w:eastAsia="es-CO"/>
        </w:rPr>
        <w:t>“Las providencias judiciales se harán saber a las partes y demás interesados por medio de notificaciones, con las formalidades prescritas en este código.</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color w:val="000000"/>
          <w:sz w:val="24"/>
          <w:szCs w:val="24"/>
          <w:lang w:eastAsia="es-CO"/>
        </w:rPr>
        <w:t>Salvo los casos expresamente exceptuados, ninguna providencia producirá efectos antes de haberse notificado”»</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b/>
          <w:bCs/>
          <w:color w:val="000000"/>
          <w:sz w:val="24"/>
          <w:szCs w:val="24"/>
          <w:lang w:eastAsia="es-CO"/>
        </w:rPr>
        <w:t>DERECHO AL DEBIDO PROCESO</w:t>
      </w:r>
      <w:r w:rsidRPr="00A2592E">
        <w:rPr>
          <w:rFonts w:ascii="Bookman Old Style" w:eastAsia="Times New Roman" w:hAnsi="Bookman Old Style" w:cs="Times New Roman"/>
          <w:color w:val="000000"/>
          <w:sz w:val="24"/>
          <w:szCs w:val="24"/>
          <w:lang w:eastAsia="es-CO"/>
        </w:rPr>
        <w:t> - Proceso de revisión de avalúo de servidumbre de hidrocarburos: defecto procedimental por exceso ritual manifiesto al rechazar la demanda de revisión por caducidad de la acción, desconociendo que el término para decretarla se contabiliza a partir de la ejecutoria de la sentencia y no desde la fecha de su expedición</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b/>
          <w:bCs/>
          <w:color w:val="000000"/>
          <w:sz w:val="24"/>
          <w:szCs w:val="24"/>
          <w:lang w:eastAsia="es-CO"/>
        </w:rPr>
        <w:t>DERECHO PROCESAL</w:t>
      </w:r>
      <w:r w:rsidRPr="00A2592E">
        <w:rPr>
          <w:rFonts w:ascii="Bookman Old Style" w:eastAsia="Times New Roman" w:hAnsi="Bookman Old Style" w:cs="Times New Roman"/>
          <w:color w:val="000000"/>
          <w:sz w:val="24"/>
          <w:szCs w:val="24"/>
          <w:lang w:eastAsia="es-CO"/>
        </w:rPr>
        <w:t> - Términos - Cómputo de términos: la contabilización del término sin atender los días de interrupción de vacancia judicial, sólo puede aplicarse una vez se haya formalizado la notificación de la decisión</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b/>
          <w:bCs/>
          <w:color w:val="7D3B05"/>
          <w:sz w:val="24"/>
          <w:szCs w:val="24"/>
          <w:lang w:eastAsia="es-CO"/>
        </w:rPr>
      </w:pPr>
      <w:r w:rsidRPr="00A2592E">
        <w:rPr>
          <w:rFonts w:ascii="Bookman Old Style" w:eastAsia="Times New Roman" w:hAnsi="Bookman Old Style" w:cs="Times New Roman"/>
          <w:b/>
          <w:bCs/>
          <w:color w:val="7D3B05"/>
          <w:sz w:val="24"/>
          <w:szCs w:val="24"/>
          <w:lang w:eastAsia="es-CO"/>
        </w:rPr>
        <w:t>Tesis</w:t>
      </w:r>
      <w:r>
        <w:rPr>
          <w:rFonts w:ascii="Bookman Old Style" w:eastAsia="Times New Roman" w:hAnsi="Bookman Old Style" w:cs="Times New Roman"/>
          <w:b/>
          <w:bCs/>
          <w:color w:val="7D3B05"/>
          <w:sz w:val="24"/>
          <w:szCs w:val="24"/>
          <w:lang w:eastAsia="es-CO"/>
        </w:rPr>
        <w:t>:</w:t>
      </w: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color w:val="000000"/>
          <w:sz w:val="24"/>
          <w:szCs w:val="24"/>
          <w:lang w:eastAsia="es-CO"/>
        </w:rPr>
        <w:t>«(…)el Tribunal fustigado, al estudiar el auto recurrido, consideró en la decisión del 26 de octubre de 2021, que pese a que se había declarado la vacancia judicial para la fecha de emisión del fallo, en ese asunto, daba lugar a darle aplicación al numeral 7º del artículo 118 del CGP, y en atención a esa apreciación dispuso:</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color w:val="000000"/>
          <w:sz w:val="24"/>
          <w:szCs w:val="24"/>
          <w:lang w:eastAsia="es-CO"/>
        </w:rPr>
        <w:t xml:space="preserve">[…] tampoco puede acogerse la tesis del impugnante, encaminada a señalar que “todo término comenzara a correr a partir del día siguiente a la notificación de la providencia que lo conceda”, pues recuérdese que de conformidad con el inciso 7º del artículo 118 del Código General del Proceso, </w:t>
      </w:r>
      <w:r w:rsidRPr="00A2592E">
        <w:rPr>
          <w:rFonts w:ascii="Bookman Old Style" w:eastAsia="Times New Roman" w:hAnsi="Bookman Old Style" w:cs="Times New Roman"/>
          <w:color w:val="000000"/>
          <w:sz w:val="24"/>
          <w:szCs w:val="24"/>
          <w:lang w:eastAsia="es-CO"/>
        </w:rPr>
        <w:lastRenderedPageBreak/>
        <w:t>cuando el término contemplado en la norma está expresado en meses, para su cómputo no debe atenderse los días de interrupción de vacancia judicial o los que, por cualquier causa (días feriados o semana santa), el despacho deba permanecer cerrado.</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color w:val="000000"/>
          <w:sz w:val="24"/>
          <w:szCs w:val="24"/>
          <w:lang w:eastAsia="es-CO"/>
        </w:rPr>
        <w:t xml:space="preserve">Sin embargo, de tal apreciación, considera esta Sala que esa normativa es aplicable una vez se haya formalizado la notificación de la decisión, en concordancia con el artículo 302 del postulado </w:t>
      </w:r>
      <w:proofErr w:type="spellStart"/>
      <w:r w:rsidRPr="00A2592E">
        <w:rPr>
          <w:rFonts w:ascii="Bookman Old Style" w:eastAsia="Times New Roman" w:hAnsi="Bookman Old Style" w:cs="Times New Roman"/>
          <w:color w:val="000000"/>
          <w:sz w:val="24"/>
          <w:szCs w:val="24"/>
          <w:lang w:eastAsia="es-CO"/>
        </w:rPr>
        <w:t>ejusdem</w:t>
      </w:r>
      <w:proofErr w:type="spellEnd"/>
      <w:r w:rsidRPr="00A2592E">
        <w:rPr>
          <w:rFonts w:ascii="Bookman Old Style" w:eastAsia="Times New Roman" w:hAnsi="Bookman Old Style" w:cs="Times New Roman"/>
          <w:color w:val="000000"/>
          <w:sz w:val="24"/>
          <w:szCs w:val="24"/>
          <w:lang w:eastAsia="es-CO"/>
        </w:rPr>
        <w:t>, situación que evidentemente no aconteció en el presente asunto, por cuanto, el estado de esa determinación solo se hizo efectivo hasta el 12 de enero de 2021, como viene de explicarse en líneas anteriores.</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color w:val="000000"/>
          <w:sz w:val="24"/>
          <w:szCs w:val="24"/>
          <w:lang w:eastAsia="es-CO"/>
        </w:rPr>
        <w:t>En conclusión, los términos comenzaron a correr desde el día hábil siguiente al que cobró firmeza el fallo que se pretende revisar, es decir, 15 de enero de 2021, de conformidad con el artículo referido en párrafo anterior, su hito inicial debió correr desde el 18 de enero de 2021, para finalizar el 18 de febrero de la misma anualidad teniendo en cuenta lo antepuesto, por lo que, habiéndose presentado la referida demanda de revisión por parte de la sociedad accionante el día 12 de febrero de 2021, para la Sala, es indudable que esta se presentó en tiempo, y en ese sentido, no había operado el fenómeno de caducidad de la acción, pues la presentación de la misma logró interrumpir el término de un mes que consagra la norma especial.</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color w:val="000000"/>
          <w:sz w:val="24"/>
          <w:szCs w:val="24"/>
          <w:lang w:eastAsia="es-CO"/>
        </w:rPr>
        <w:t>Así las cosas, se revocará el fallo impugnado, para en su lugar, conceder el amparo deprecado, y en consecuencia, se ordenará al Juzgado Primero Civil del Circuito de Villavicencio, que en el término de cinco (5) días contados a partir de la notificación de la presente providencia, estudie la admisión de la demanda de revisión de avalúo de servidumbre de hidrocarburos, que Ecopetrol S.A., formuló contra Gladys Pineda Villarreal y otros, de conformidad con las razones expuestas en la parte motiva de esta providencia»</w:t>
      </w: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color w:val="000000"/>
          <w:sz w:val="24"/>
          <w:szCs w:val="24"/>
          <w:lang w:eastAsia="es-CO"/>
        </w:rPr>
      </w:pPr>
    </w:p>
    <w:p w:rsidR="00A2592E" w:rsidRPr="00A2592E" w:rsidRDefault="00A2592E" w:rsidP="00A2592E">
      <w:pPr>
        <w:rPr>
          <w:rFonts w:ascii="Bookman Old Style" w:eastAsia="Times New Roman" w:hAnsi="Bookman Old Style" w:cs="Times New Roman"/>
          <w:color w:val="000000"/>
          <w:sz w:val="24"/>
          <w:szCs w:val="24"/>
          <w:lang w:eastAsia="es-CO"/>
        </w:rPr>
      </w:pPr>
      <w:r w:rsidRPr="00A2592E">
        <w:rPr>
          <w:rFonts w:ascii="Bookman Old Style" w:eastAsia="Times New Roman" w:hAnsi="Bookman Old Style" w:cs="Times New Roman"/>
          <w:b/>
          <w:bCs/>
          <w:color w:val="7D3B05"/>
          <w:sz w:val="24"/>
          <w:szCs w:val="24"/>
          <w:lang w:eastAsia="es-CO"/>
        </w:rPr>
        <w:t>JURISPRUDENCIA RELACIONADA: </w:t>
      </w:r>
      <w:r w:rsidRPr="00A2592E">
        <w:rPr>
          <w:rFonts w:ascii="Bookman Old Style" w:eastAsia="Times New Roman" w:hAnsi="Bookman Old Style" w:cs="Times New Roman"/>
          <w:color w:val="000000"/>
          <w:sz w:val="24"/>
          <w:szCs w:val="24"/>
          <w:lang w:eastAsia="es-CO"/>
        </w:rPr>
        <w:t>CC T-234/17 CSJ STL4807-2021</w:t>
      </w:r>
    </w:p>
    <w:p w:rsidR="00A2592E" w:rsidRPr="00A2592E" w:rsidRDefault="00A2592E" w:rsidP="00A2592E">
      <w:pPr>
        <w:jc w:val="left"/>
        <w:rPr>
          <w:rFonts w:ascii="Bookman Old Style" w:eastAsia="Times New Roman" w:hAnsi="Bookman Old Style" w:cs="Times New Roman"/>
          <w:sz w:val="24"/>
          <w:szCs w:val="24"/>
          <w:lang w:eastAsia="es-CO"/>
        </w:rPr>
      </w:pPr>
    </w:p>
    <w:p w:rsidR="00A2592E" w:rsidRPr="00A2592E" w:rsidRDefault="00A2592E" w:rsidP="00A2592E">
      <w:pPr>
        <w:jc w:val="left"/>
        <w:rPr>
          <w:rFonts w:ascii="Bookman Old Style" w:eastAsia="Times New Roman" w:hAnsi="Bookman Old Style" w:cs="Times New Roman"/>
          <w:sz w:val="24"/>
          <w:szCs w:val="24"/>
          <w:lang w:eastAsia="es-CO"/>
        </w:rPr>
      </w:pPr>
    </w:p>
    <w:p w:rsidR="00B763C0" w:rsidRPr="00A2592E" w:rsidRDefault="00B763C0" w:rsidP="00A2592E">
      <w:pPr>
        <w:rPr>
          <w:rFonts w:ascii="Bookman Old Style" w:hAnsi="Bookman Old Style"/>
          <w:sz w:val="24"/>
          <w:szCs w:val="24"/>
        </w:rPr>
      </w:pPr>
    </w:p>
    <w:sectPr w:rsidR="00B763C0" w:rsidRPr="00A259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92E"/>
    <w:rsid w:val="00A2592E"/>
    <w:rsid w:val="00B763C0"/>
    <w:rsid w:val="00E434AE"/>
    <w:rsid w:val="00F04A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A59A3-47E1-4122-A98F-52700E7C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434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727860">
      <w:bodyDiv w:val="1"/>
      <w:marLeft w:val="0"/>
      <w:marRight w:val="0"/>
      <w:marTop w:val="0"/>
      <w:marBottom w:val="0"/>
      <w:divBdr>
        <w:top w:val="none" w:sz="0" w:space="0" w:color="auto"/>
        <w:left w:val="none" w:sz="0" w:space="0" w:color="auto"/>
        <w:bottom w:val="none" w:sz="0" w:space="0" w:color="auto"/>
        <w:right w:val="none" w:sz="0" w:space="0" w:color="auto"/>
      </w:divBdr>
      <w:divsChild>
        <w:div w:id="30156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rtesuprema.gov.co/corte/wp-content/uploads/relatorias/tutelas/B%20MAY2022/STL2476-2022.docx"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1540</Words>
  <Characters>8473</Characters>
  <Application>Microsoft Office Word</Application>
  <DocSecurity>0</DocSecurity>
  <Lines>70</Lines>
  <Paragraphs>19</Paragraphs>
  <ScaleCrop>false</ScaleCrop>
  <Company/>
  <LinksUpToDate>false</LinksUpToDate>
  <CharactersWithSpaces>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Alexander López Briceño</dc:creator>
  <cp:keywords/>
  <dc:description/>
  <cp:lastModifiedBy>Jorge Alexander López Briceño</cp:lastModifiedBy>
  <cp:revision>2</cp:revision>
  <dcterms:created xsi:type="dcterms:W3CDTF">2022-05-04T19:22:00Z</dcterms:created>
  <dcterms:modified xsi:type="dcterms:W3CDTF">2022-05-04T19:44:00Z</dcterms:modified>
</cp:coreProperties>
</file>