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39ED6" w14:textId="38FE823B" w:rsidR="00EF5BDF" w:rsidRPr="00EF5BDF" w:rsidRDefault="00EF5BDF" w:rsidP="00EF5BDF">
      <w:pPr>
        <w:spacing w:after="0" w:line="240" w:lineRule="auto"/>
        <w:jc w:val="center"/>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noProof/>
          <w:color w:val="000000"/>
          <w:sz w:val="24"/>
          <w:szCs w:val="24"/>
          <w:lang w:eastAsia="es-CO"/>
        </w:rPr>
        <w:drawing>
          <wp:inline distT="0" distB="0" distL="0" distR="0" wp14:anchorId="4B50AA96" wp14:editId="54862321">
            <wp:extent cx="1394460" cy="13106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4460" cy="1310640"/>
                    </a:xfrm>
                    <a:prstGeom prst="rect">
                      <a:avLst/>
                    </a:prstGeom>
                    <a:noFill/>
                    <a:ln>
                      <a:noFill/>
                    </a:ln>
                  </pic:spPr>
                </pic:pic>
              </a:graphicData>
            </a:graphic>
          </wp:inline>
        </w:drawing>
      </w:r>
    </w:p>
    <w:p w14:paraId="1566F753" w14:textId="77777777" w:rsidR="00EF5BDF" w:rsidRPr="00EF5BDF" w:rsidRDefault="00EF5BDF" w:rsidP="00EF5BDF">
      <w:pPr>
        <w:spacing w:after="0" w:line="240" w:lineRule="auto"/>
        <w:rPr>
          <w:rFonts w:ascii="Bookman Old Style" w:eastAsia="Times New Roman" w:hAnsi="Bookman Old Style" w:cs="Times New Roman"/>
          <w:color w:val="000000"/>
          <w:sz w:val="24"/>
          <w:szCs w:val="24"/>
          <w:lang w:eastAsia="es-CO"/>
        </w:rPr>
      </w:pPr>
    </w:p>
    <w:p w14:paraId="6A214E35" w14:textId="0081FA2B" w:rsidR="00EF5BDF" w:rsidRPr="00EF5BDF" w:rsidRDefault="00EF5BDF" w:rsidP="00EF5BDF">
      <w:pPr>
        <w:spacing w:after="0" w:line="240" w:lineRule="auto"/>
        <w:rPr>
          <w:rFonts w:ascii="Bookman Old Style" w:eastAsia="Times New Roman" w:hAnsi="Bookman Old Style" w:cs="Times New Roman"/>
          <w:sz w:val="24"/>
          <w:szCs w:val="24"/>
          <w:lang w:eastAsia="es-CO"/>
        </w:rPr>
      </w:pPr>
    </w:p>
    <w:p w14:paraId="1AC2389F" w14:textId="77777777" w:rsidR="00EF5BDF" w:rsidRPr="00EF5BDF" w:rsidRDefault="00EF5BDF" w:rsidP="00EF5BDF">
      <w:pPr>
        <w:spacing w:after="0" w:line="240" w:lineRule="auto"/>
        <w:jc w:val="center"/>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b/>
          <w:bCs/>
          <w:color w:val="000000"/>
          <w:sz w:val="24"/>
          <w:szCs w:val="24"/>
          <w:lang w:eastAsia="es-CO"/>
        </w:rPr>
        <w:t>TUTELA</w:t>
      </w:r>
    </w:p>
    <w:p w14:paraId="4B944DAD" w14:textId="77777777" w:rsidR="00EF5BDF" w:rsidRPr="00EF5BDF" w:rsidRDefault="00EF5BDF" w:rsidP="00EF5BDF">
      <w:pPr>
        <w:spacing w:after="0" w:line="240" w:lineRule="auto"/>
        <w:rPr>
          <w:rFonts w:ascii="Bookman Old Style" w:eastAsia="Times New Roman" w:hAnsi="Bookman Old Style" w:cs="Times New Roman"/>
          <w:color w:val="000000"/>
          <w:sz w:val="24"/>
          <w:szCs w:val="24"/>
          <w:lang w:eastAsia="es-CO"/>
        </w:rPr>
      </w:pPr>
    </w:p>
    <w:p w14:paraId="018A1D79" w14:textId="77777777" w:rsidR="00EF5BDF" w:rsidRPr="00EF5BDF" w:rsidRDefault="00EF5BDF" w:rsidP="00EF5BDF">
      <w:pPr>
        <w:spacing w:after="0" w:line="240" w:lineRule="auto"/>
        <w:rPr>
          <w:rFonts w:ascii="Bookman Old Style" w:eastAsia="Times New Roman" w:hAnsi="Bookman Old Style" w:cs="Times New Roman"/>
          <w:color w:val="000000"/>
          <w:sz w:val="24"/>
          <w:szCs w:val="24"/>
          <w:lang w:eastAsia="es-CO"/>
        </w:rPr>
      </w:pPr>
    </w:p>
    <w:p w14:paraId="2802FEC9" w14:textId="1374C3D9" w:rsidR="00EF5BDF" w:rsidRPr="00EF5BDF" w:rsidRDefault="00EF5BDF" w:rsidP="00EF5BDF">
      <w:pPr>
        <w:spacing w:after="0" w:line="240" w:lineRule="auto"/>
        <w:rPr>
          <w:rFonts w:ascii="Bookman Old Style" w:eastAsia="Times New Roman" w:hAnsi="Bookman Old Style" w:cs="Times New Roman"/>
          <w:sz w:val="24"/>
          <w:szCs w:val="24"/>
          <w:lang w:eastAsia="es-CO"/>
        </w:rPr>
      </w:pPr>
    </w:p>
    <w:p w14:paraId="15F52264" w14:textId="77777777" w:rsidR="00EF5BDF" w:rsidRPr="00EF5BDF" w:rsidRDefault="00EF5BDF" w:rsidP="00EF5BDF">
      <w:pPr>
        <w:spacing w:after="0" w:line="240" w:lineRule="auto"/>
        <w:jc w:val="center"/>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b/>
          <w:bCs/>
          <w:color w:val="000000"/>
          <w:sz w:val="24"/>
          <w:szCs w:val="24"/>
          <w:lang w:eastAsia="es-CO"/>
        </w:rPr>
        <w:t>REPORTE DE CONSULTA</w:t>
      </w:r>
    </w:p>
    <w:p w14:paraId="5975123D" w14:textId="77777777" w:rsidR="00EF5BDF" w:rsidRPr="00EF5BDF" w:rsidRDefault="00EF5BDF" w:rsidP="00EF5BDF">
      <w:pPr>
        <w:spacing w:after="0" w:line="240" w:lineRule="auto"/>
        <w:rPr>
          <w:rFonts w:ascii="Bookman Old Style" w:eastAsia="Times New Roman" w:hAnsi="Bookman Old Style" w:cs="Times New Roman"/>
          <w:color w:val="000000"/>
          <w:sz w:val="24"/>
          <w:szCs w:val="24"/>
          <w:lang w:eastAsia="es-CO"/>
        </w:rPr>
      </w:pPr>
    </w:p>
    <w:p w14:paraId="246A2529" w14:textId="24488B2C" w:rsidR="00EF5BDF" w:rsidRPr="00EF5BDF" w:rsidRDefault="00EF5BDF" w:rsidP="00EF5BDF">
      <w:pPr>
        <w:spacing w:after="0" w:line="240" w:lineRule="auto"/>
        <w:rPr>
          <w:rFonts w:ascii="Bookman Old Style" w:eastAsia="Times New Roman" w:hAnsi="Bookman Old Style" w:cs="Times New Roman"/>
          <w:sz w:val="24"/>
          <w:szCs w:val="24"/>
          <w:lang w:eastAsia="es-CO"/>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10"/>
      </w:tblGrid>
      <w:tr w:rsidR="00EF5BDF" w:rsidRPr="00EF5BDF" w14:paraId="6D21C989" w14:textId="77777777" w:rsidTr="00EF5BD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2048EC" w14:textId="77777777" w:rsidR="00EF5BDF" w:rsidRPr="00EF5BDF" w:rsidRDefault="00EF5BDF" w:rsidP="00EF5BDF">
            <w:pPr>
              <w:shd w:val="clear" w:color="auto" w:fill="BBFFAA"/>
              <w:spacing w:after="0" w:line="240" w:lineRule="auto"/>
              <w:jc w:val="center"/>
              <w:divId w:val="1267690768"/>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b/>
                <w:bCs/>
                <w:sz w:val="24"/>
                <w:szCs w:val="24"/>
                <w:lang w:eastAsia="es-CO"/>
              </w:rPr>
              <w:t>RELEVANTE</w:t>
            </w:r>
          </w:p>
          <w:p w14:paraId="5DA0F5D0"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p>
          <w:p w14:paraId="4C9A53F6" w14:textId="782C7C14"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b/>
                <w:bCs/>
                <w:sz w:val="24"/>
                <w:szCs w:val="24"/>
                <w:lang w:eastAsia="es-CO"/>
              </w:rPr>
              <w:t>SALA DE CASACIÓN PENAL - SALA DE DECISIÓN DE TUTELAS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95"/>
              <w:gridCol w:w="137"/>
              <w:gridCol w:w="4958"/>
            </w:tblGrid>
            <w:tr w:rsidR="00EF5BDF" w:rsidRPr="00EF5BDF" w14:paraId="474E1484" w14:textId="77777777">
              <w:trPr>
                <w:tblCellSpacing w:w="15" w:type="dxa"/>
              </w:trPr>
              <w:tc>
                <w:tcPr>
                  <w:tcW w:w="3750" w:type="dxa"/>
                  <w:hideMark/>
                </w:tcPr>
                <w:p w14:paraId="5793D01E"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b/>
                      <w:bCs/>
                      <w:color w:val="7D3B05"/>
                      <w:sz w:val="24"/>
                      <w:szCs w:val="24"/>
                      <w:lang w:eastAsia="es-CO"/>
                    </w:rPr>
                    <w:t>ID</w:t>
                  </w:r>
                </w:p>
              </w:tc>
              <w:tc>
                <w:tcPr>
                  <w:tcW w:w="75" w:type="dxa"/>
                  <w:hideMark/>
                </w:tcPr>
                <w:p w14:paraId="5CA4013D"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w:t>
                  </w:r>
                </w:p>
              </w:tc>
              <w:tc>
                <w:tcPr>
                  <w:tcW w:w="0" w:type="auto"/>
                  <w:vAlign w:val="center"/>
                  <w:hideMark/>
                </w:tcPr>
                <w:p w14:paraId="1AD0620C" w14:textId="77777777" w:rsidR="00EF5BDF" w:rsidRPr="00EF5BDF" w:rsidRDefault="00EF5BDF" w:rsidP="00EF5BDF">
                  <w:pPr>
                    <w:spacing w:after="0" w:line="240" w:lineRule="auto"/>
                    <w:jc w:val="both"/>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723222</w:t>
                  </w:r>
                </w:p>
              </w:tc>
            </w:tr>
            <w:tr w:rsidR="00EF5BDF" w:rsidRPr="00EF5BDF" w14:paraId="22A0C536" w14:textId="77777777">
              <w:trPr>
                <w:tblCellSpacing w:w="15" w:type="dxa"/>
              </w:trPr>
              <w:tc>
                <w:tcPr>
                  <w:tcW w:w="3750" w:type="dxa"/>
                  <w:hideMark/>
                </w:tcPr>
                <w:p w14:paraId="1975E199"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b/>
                      <w:bCs/>
                      <w:color w:val="7D3B05"/>
                      <w:sz w:val="24"/>
                      <w:szCs w:val="24"/>
                      <w:lang w:eastAsia="es-CO"/>
                    </w:rPr>
                    <w:t>M. PONENTE</w:t>
                  </w:r>
                </w:p>
              </w:tc>
              <w:tc>
                <w:tcPr>
                  <w:tcW w:w="75" w:type="dxa"/>
                  <w:hideMark/>
                </w:tcPr>
                <w:p w14:paraId="5A5C75A9"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w:t>
                  </w:r>
                </w:p>
              </w:tc>
              <w:tc>
                <w:tcPr>
                  <w:tcW w:w="0" w:type="auto"/>
                  <w:vAlign w:val="center"/>
                  <w:hideMark/>
                </w:tcPr>
                <w:p w14:paraId="281AAE63" w14:textId="77777777" w:rsidR="00EF5BDF" w:rsidRPr="00EF5BDF" w:rsidRDefault="00EF5BDF" w:rsidP="00EF5BDF">
                  <w:pPr>
                    <w:spacing w:after="0" w:line="240" w:lineRule="auto"/>
                    <w:jc w:val="both"/>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FABIO OSPITIA GARZÓN</w:t>
                  </w:r>
                </w:p>
              </w:tc>
            </w:tr>
            <w:tr w:rsidR="00EF5BDF" w:rsidRPr="00EF5BDF" w14:paraId="4F97D85D" w14:textId="77777777">
              <w:trPr>
                <w:tblCellSpacing w:w="15" w:type="dxa"/>
              </w:trPr>
              <w:tc>
                <w:tcPr>
                  <w:tcW w:w="3750" w:type="dxa"/>
                  <w:hideMark/>
                </w:tcPr>
                <w:p w14:paraId="0CBA79C5"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b/>
                      <w:bCs/>
                      <w:color w:val="7D3B05"/>
                      <w:sz w:val="24"/>
                      <w:szCs w:val="24"/>
                      <w:lang w:eastAsia="es-CO"/>
                    </w:rPr>
                    <w:t>NÚMERO DE PROCESO</w:t>
                  </w:r>
                </w:p>
              </w:tc>
              <w:tc>
                <w:tcPr>
                  <w:tcW w:w="75" w:type="dxa"/>
                  <w:hideMark/>
                </w:tcPr>
                <w:p w14:paraId="68DE232D"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w:t>
                  </w:r>
                </w:p>
              </w:tc>
              <w:tc>
                <w:tcPr>
                  <w:tcW w:w="0" w:type="auto"/>
                  <w:vAlign w:val="center"/>
                  <w:hideMark/>
                </w:tcPr>
                <w:p w14:paraId="2CF8606C" w14:textId="77777777" w:rsidR="00EF5BDF" w:rsidRPr="00EF5BDF" w:rsidRDefault="00EF5BDF" w:rsidP="00EF5BDF">
                  <w:pPr>
                    <w:spacing w:after="0" w:line="240" w:lineRule="auto"/>
                    <w:jc w:val="both"/>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T 114077</w:t>
                  </w:r>
                </w:p>
              </w:tc>
            </w:tr>
            <w:tr w:rsidR="00EF5BDF" w:rsidRPr="00EF5BDF" w14:paraId="67E4A0EC" w14:textId="77777777">
              <w:trPr>
                <w:tblCellSpacing w:w="15" w:type="dxa"/>
              </w:trPr>
              <w:tc>
                <w:tcPr>
                  <w:tcW w:w="3750" w:type="dxa"/>
                  <w:hideMark/>
                </w:tcPr>
                <w:p w14:paraId="0F544C6B"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b/>
                      <w:bCs/>
                      <w:color w:val="7D3B05"/>
                      <w:sz w:val="24"/>
                      <w:szCs w:val="24"/>
                      <w:lang w:eastAsia="es-CO"/>
                    </w:rPr>
                    <w:t>NÚMERO DE PROVIDENCIA</w:t>
                  </w:r>
                </w:p>
              </w:tc>
              <w:tc>
                <w:tcPr>
                  <w:tcW w:w="75" w:type="dxa"/>
                  <w:hideMark/>
                </w:tcPr>
                <w:p w14:paraId="3004562D"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w:t>
                  </w:r>
                </w:p>
              </w:tc>
              <w:tc>
                <w:tcPr>
                  <w:tcW w:w="0" w:type="auto"/>
                  <w:vAlign w:val="center"/>
                  <w:hideMark/>
                </w:tcPr>
                <w:p w14:paraId="316AC3C1" w14:textId="00CF5A38" w:rsidR="00EF5BDF" w:rsidRPr="00EF5BDF" w:rsidRDefault="0009540F" w:rsidP="00EF5BDF">
                  <w:pPr>
                    <w:spacing w:after="0" w:line="240" w:lineRule="auto"/>
                    <w:jc w:val="both"/>
                    <w:rPr>
                      <w:rFonts w:ascii="Bookman Old Style" w:eastAsia="Times New Roman" w:hAnsi="Bookman Old Style" w:cs="Times New Roman"/>
                      <w:sz w:val="24"/>
                      <w:szCs w:val="24"/>
                      <w:lang w:eastAsia="es-CO"/>
                    </w:rPr>
                  </w:pPr>
                  <w:hyperlink r:id="rId5" w:history="1">
                    <w:r w:rsidR="00EF5BDF" w:rsidRPr="0009540F">
                      <w:rPr>
                        <w:rStyle w:val="Hipervnculo"/>
                        <w:rFonts w:ascii="Bookman Old Style" w:eastAsia="Times New Roman" w:hAnsi="Bookman Old Style" w:cs="Times New Roman"/>
                        <w:sz w:val="24"/>
                        <w:szCs w:val="24"/>
                        <w:lang w:eastAsia="es-CO"/>
                      </w:rPr>
                      <w:t>STP1419-2021</w:t>
                    </w:r>
                  </w:hyperlink>
                </w:p>
              </w:tc>
            </w:tr>
            <w:tr w:rsidR="00EF5BDF" w:rsidRPr="00EF5BDF" w14:paraId="44EB3475" w14:textId="77777777">
              <w:trPr>
                <w:tblCellSpacing w:w="15" w:type="dxa"/>
              </w:trPr>
              <w:tc>
                <w:tcPr>
                  <w:tcW w:w="3750" w:type="dxa"/>
                  <w:hideMark/>
                </w:tcPr>
                <w:p w14:paraId="48FE6775"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b/>
                      <w:bCs/>
                      <w:color w:val="7D3B05"/>
                      <w:sz w:val="24"/>
                      <w:szCs w:val="24"/>
                      <w:lang w:eastAsia="es-CO"/>
                    </w:rPr>
                    <w:t>PROCEDENCIA</w:t>
                  </w:r>
                </w:p>
              </w:tc>
              <w:tc>
                <w:tcPr>
                  <w:tcW w:w="75" w:type="dxa"/>
                  <w:hideMark/>
                </w:tcPr>
                <w:p w14:paraId="62D3D8A8"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w:t>
                  </w:r>
                </w:p>
              </w:tc>
              <w:tc>
                <w:tcPr>
                  <w:tcW w:w="0" w:type="auto"/>
                  <w:vAlign w:val="center"/>
                  <w:hideMark/>
                </w:tcPr>
                <w:p w14:paraId="742B871C" w14:textId="77777777" w:rsidR="00EF5BDF" w:rsidRPr="00EF5BDF" w:rsidRDefault="00EF5BDF" w:rsidP="00EF5BDF">
                  <w:pPr>
                    <w:spacing w:after="0" w:line="240" w:lineRule="auto"/>
                    <w:jc w:val="both"/>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Tribunal Superior Sala Penal de Antioquia</w:t>
                  </w:r>
                </w:p>
              </w:tc>
            </w:tr>
            <w:tr w:rsidR="00EF5BDF" w:rsidRPr="00EF5BDF" w14:paraId="514EED29" w14:textId="77777777">
              <w:trPr>
                <w:tblCellSpacing w:w="15" w:type="dxa"/>
              </w:trPr>
              <w:tc>
                <w:tcPr>
                  <w:tcW w:w="3750" w:type="dxa"/>
                  <w:hideMark/>
                </w:tcPr>
                <w:p w14:paraId="0E484CF1"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b/>
                      <w:bCs/>
                      <w:color w:val="7D3B05"/>
                      <w:sz w:val="24"/>
                      <w:szCs w:val="24"/>
                      <w:lang w:eastAsia="es-CO"/>
                    </w:rPr>
                    <w:t>CLASE DE ACTUACIÓN</w:t>
                  </w:r>
                </w:p>
              </w:tc>
              <w:tc>
                <w:tcPr>
                  <w:tcW w:w="75" w:type="dxa"/>
                  <w:hideMark/>
                </w:tcPr>
                <w:p w14:paraId="06BC6444"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w:t>
                  </w:r>
                </w:p>
              </w:tc>
              <w:tc>
                <w:tcPr>
                  <w:tcW w:w="0" w:type="auto"/>
                  <w:vAlign w:val="center"/>
                  <w:hideMark/>
                </w:tcPr>
                <w:p w14:paraId="045F265A" w14:textId="77777777" w:rsidR="00EF5BDF" w:rsidRPr="00EF5BDF" w:rsidRDefault="00EF5BDF" w:rsidP="00EF5BDF">
                  <w:pPr>
                    <w:spacing w:after="0" w:line="240" w:lineRule="auto"/>
                    <w:jc w:val="both"/>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ACCIÓN DE TUTELA - SEGUNDA INSTANCIA</w:t>
                  </w:r>
                </w:p>
              </w:tc>
            </w:tr>
            <w:tr w:rsidR="00EF5BDF" w:rsidRPr="00EF5BDF" w14:paraId="64F68BDB" w14:textId="77777777">
              <w:trPr>
                <w:tblCellSpacing w:w="15" w:type="dxa"/>
              </w:trPr>
              <w:tc>
                <w:tcPr>
                  <w:tcW w:w="3750" w:type="dxa"/>
                  <w:hideMark/>
                </w:tcPr>
                <w:p w14:paraId="5BED2D03"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b/>
                      <w:bCs/>
                      <w:color w:val="7D3B05"/>
                      <w:sz w:val="24"/>
                      <w:szCs w:val="24"/>
                      <w:lang w:eastAsia="es-CO"/>
                    </w:rPr>
                    <w:t>TIPO DE PROVIDENCIA</w:t>
                  </w:r>
                </w:p>
              </w:tc>
              <w:tc>
                <w:tcPr>
                  <w:tcW w:w="75" w:type="dxa"/>
                  <w:hideMark/>
                </w:tcPr>
                <w:p w14:paraId="34E4B43E"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w:t>
                  </w:r>
                </w:p>
              </w:tc>
              <w:tc>
                <w:tcPr>
                  <w:tcW w:w="0" w:type="auto"/>
                  <w:vAlign w:val="center"/>
                  <w:hideMark/>
                </w:tcPr>
                <w:p w14:paraId="44E3746E" w14:textId="77777777" w:rsidR="00EF5BDF" w:rsidRPr="00EF5BDF" w:rsidRDefault="00EF5BDF" w:rsidP="00EF5BDF">
                  <w:pPr>
                    <w:spacing w:after="0" w:line="240" w:lineRule="auto"/>
                    <w:jc w:val="both"/>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SENTENCIA</w:t>
                  </w:r>
                </w:p>
              </w:tc>
            </w:tr>
            <w:tr w:rsidR="00EF5BDF" w:rsidRPr="00EF5BDF" w14:paraId="4E19F9FD" w14:textId="77777777">
              <w:trPr>
                <w:tblCellSpacing w:w="15" w:type="dxa"/>
              </w:trPr>
              <w:tc>
                <w:tcPr>
                  <w:tcW w:w="3750" w:type="dxa"/>
                  <w:hideMark/>
                </w:tcPr>
                <w:p w14:paraId="61603FFA"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b/>
                      <w:bCs/>
                      <w:color w:val="7D3B05"/>
                      <w:sz w:val="24"/>
                      <w:szCs w:val="24"/>
                      <w:lang w:eastAsia="es-CO"/>
                    </w:rPr>
                    <w:t>FECHA</w:t>
                  </w:r>
                </w:p>
              </w:tc>
              <w:tc>
                <w:tcPr>
                  <w:tcW w:w="75" w:type="dxa"/>
                  <w:hideMark/>
                </w:tcPr>
                <w:p w14:paraId="4483377B"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w:t>
                  </w:r>
                </w:p>
              </w:tc>
              <w:tc>
                <w:tcPr>
                  <w:tcW w:w="0" w:type="auto"/>
                  <w:vAlign w:val="center"/>
                  <w:hideMark/>
                </w:tcPr>
                <w:p w14:paraId="78F44578" w14:textId="77777777" w:rsidR="00EF5BDF" w:rsidRPr="00EF5BDF" w:rsidRDefault="00EF5BDF" w:rsidP="00EF5BDF">
                  <w:pPr>
                    <w:spacing w:after="0" w:line="240" w:lineRule="auto"/>
                    <w:jc w:val="both"/>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26/01/2021</w:t>
                  </w:r>
                </w:p>
              </w:tc>
            </w:tr>
            <w:tr w:rsidR="00EF5BDF" w:rsidRPr="00EF5BDF" w14:paraId="7E8BABA0" w14:textId="77777777">
              <w:trPr>
                <w:tblCellSpacing w:w="15" w:type="dxa"/>
              </w:trPr>
              <w:tc>
                <w:tcPr>
                  <w:tcW w:w="3750" w:type="dxa"/>
                  <w:hideMark/>
                </w:tcPr>
                <w:p w14:paraId="5598403E"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b/>
                      <w:bCs/>
                      <w:color w:val="7D3B05"/>
                      <w:sz w:val="24"/>
                      <w:szCs w:val="24"/>
                      <w:lang w:eastAsia="es-CO"/>
                    </w:rPr>
                    <w:t>DECISIÓN</w:t>
                  </w:r>
                </w:p>
              </w:tc>
              <w:tc>
                <w:tcPr>
                  <w:tcW w:w="75" w:type="dxa"/>
                  <w:hideMark/>
                </w:tcPr>
                <w:p w14:paraId="4CE5627D"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w:t>
                  </w:r>
                </w:p>
              </w:tc>
              <w:tc>
                <w:tcPr>
                  <w:tcW w:w="0" w:type="auto"/>
                  <w:vAlign w:val="center"/>
                  <w:hideMark/>
                </w:tcPr>
                <w:p w14:paraId="170038B1" w14:textId="77777777" w:rsidR="00EF5BDF" w:rsidRPr="00EF5BDF" w:rsidRDefault="00EF5BDF" w:rsidP="00EF5BDF">
                  <w:pPr>
                    <w:spacing w:after="0" w:line="240" w:lineRule="auto"/>
                    <w:jc w:val="both"/>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CONFIRMA CONCEDE MODIFICA TUTELA</w:t>
                  </w:r>
                </w:p>
              </w:tc>
            </w:tr>
            <w:tr w:rsidR="00EF5BDF" w:rsidRPr="00EF5BDF" w14:paraId="39560B82" w14:textId="77777777">
              <w:trPr>
                <w:tblCellSpacing w:w="15" w:type="dxa"/>
              </w:trPr>
              <w:tc>
                <w:tcPr>
                  <w:tcW w:w="3750" w:type="dxa"/>
                  <w:hideMark/>
                </w:tcPr>
                <w:p w14:paraId="4F440459"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b/>
                      <w:bCs/>
                      <w:color w:val="7D3B05"/>
                      <w:sz w:val="24"/>
                      <w:szCs w:val="24"/>
                      <w:lang w:eastAsia="es-CO"/>
                    </w:rPr>
                    <w:t>ACCIONADO</w:t>
                  </w:r>
                </w:p>
              </w:tc>
              <w:tc>
                <w:tcPr>
                  <w:tcW w:w="75" w:type="dxa"/>
                  <w:hideMark/>
                </w:tcPr>
                <w:p w14:paraId="7F67A178"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w:t>
                  </w:r>
                </w:p>
              </w:tc>
              <w:tc>
                <w:tcPr>
                  <w:tcW w:w="0" w:type="auto"/>
                  <w:vAlign w:val="center"/>
                  <w:hideMark/>
                </w:tcPr>
                <w:p w14:paraId="45AA8250" w14:textId="77777777" w:rsidR="00EF5BDF" w:rsidRPr="00EF5BDF" w:rsidRDefault="00EF5BDF" w:rsidP="00EF5BDF">
                  <w:pPr>
                    <w:spacing w:after="0" w:line="240" w:lineRule="auto"/>
                    <w:jc w:val="both"/>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COORDINADOR DEL GRUPO DE TUTELAS DE LA OFICINA ASESORA JURÍDICA DE LA DIRECCIÓN GENERAL DEL INPEC</w:t>
                  </w:r>
                </w:p>
              </w:tc>
            </w:tr>
            <w:tr w:rsidR="00EF5BDF" w:rsidRPr="00EF5BDF" w14:paraId="6B8879B8" w14:textId="77777777">
              <w:trPr>
                <w:tblCellSpacing w:w="15" w:type="dxa"/>
              </w:trPr>
              <w:tc>
                <w:tcPr>
                  <w:tcW w:w="3750" w:type="dxa"/>
                  <w:hideMark/>
                </w:tcPr>
                <w:p w14:paraId="350448E7"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b/>
                      <w:bCs/>
                      <w:color w:val="7D3B05"/>
                      <w:sz w:val="24"/>
                      <w:szCs w:val="24"/>
                      <w:lang w:eastAsia="es-CO"/>
                    </w:rPr>
                    <w:t>ACCIONANTE</w:t>
                  </w:r>
                </w:p>
              </w:tc>
              <w:tc>
                <w:tcPr>
                  <w:tcW w:w="75" w:type="dxa"/>
                  <w:hideMark/>
                </w:tcPr>
                <w:p w14:paraId="006D951F"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w:t>
                  </w:r>
                </w:p>
              </w:tc>
              <w:tc>
                <w:tcPr>
                  <w:tcW w:w="0" w:type="auto"/>
                  <w:vAlign w:val="center"/>
                  <w:hideMark/>
                </w:tcPr>
                <w:p w14:paraId="06FE7984" w14:textId="77777777" w:rsidR="00EF5BDF" w:rsidRPr="00EF5BDF" w:rsidRDefault="00EF5BDF" w:rsidP="00EF5BDF">
                  <w:pPr>
                    <w:spacing w:after="0" w:line="240" w:lineRule="auto"/>
                    <w:jc w:val="both"/>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ADRIÁN FERNEY CLAVIJO PÉREZ</w:t>
                  </w:r>
                </w:p>
              </w:tc>
            </w:tr>
            <w:tr w:rsidR="00EF5BDF" w:rsidRPr="00EF5BDF" w14:paraId="0C04D847" w14:textId="77777777">
              <w:trPr>
                <w:tblCellSpacing w:w="15" w:type="dxa"/>
              </w:trPr>
              <w:tc>
                <w:tcPr>
                  <w:tcW w:w="3750" w:type="dxa"/>
                  <w:hideMark/>
                </w:tcPr>
                <w:p w14:paraId="6DB27918"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b/>
                      <w:bCs/>
                      <w:color w:val="7D3B05"/>
                      <w:sz w:val="24"/>
                      <w:szCs w:val="24"/>
                      <w:lang w:eastAsia="es-CO"/>
                    </w:rPr>
                    <w:t>VINCULADOS</w:t>
                  </w:r>
                </w:p>
              </w:tc>
              <w:tc>
                <w:tcPr>
                  <w:tcW w:w="75" w:type="dxa"/>
                  <w:hideMark/>
                </w:tcPr>
                <w:p w14:paraId="72DC8FDE"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w:t>
                  </w:r>
                </w:p>
              </w:tc>
              <w:tc>
                <w:tcPr>
                  <w:tcW w:w="0" w:type="auto"/>
                  <w:vAlign w:val="center"/>
                  <w:hideMark/>
                </w:tcPr>
                <w:p w14:paraId="1288251F" w14:textId="77777777" w:rsidR="00EF5BDF" w:rsidRPr="00EF5BDF" w:rsidRDefault="00EF5BDF" w:rsidP="00EF5BDF">
                  <w:pPr>
                    <w:spacing w:after="0" w:line="240" w:lineRule="auto"/>
                    <w:jc w:val="both"/>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 xml:space="preserve">PERSONERÍA MUNICIPAL DE MARINILLA, DEFENSORÍA DEL PUEBLO DE MARINILLA, ESTACIÓN DE POLICÍA, DEPARTAMENTO DE POLICÍA DE ANTIOQUIA, DEFENSORÍA DEL PUEBLO, REGIONAL ANTIOQUIA, ESTABLECIMIENTO PENITENCIARIO Y CARCELARIO DE LA CEJA, ANTIOQUIA, DIRECCIÓN GENERAL DEL INPEC, REGIONAL NORESTE DEL INPEC, USPEC, DIRECCIÓN DE POLÍTICA </w:t>
                  </w:r>
                  <w:r w:rsidRPr="00EF5BDF">
                    <w:rPr>
                      <w:rFonts w:ascii="Bookman Old Style" w:eastAsia="Times New Roman" w:hAnsi="Bookman Old Style" w:cs="Times New Roman"/>
                      <w:sz w:val="24"/>
                      <w:szCs w:val="24"/>
                      <w:lang w:eastAsia="es-CO"/>
                    </w:rPr>
                    <w:lastRenderedPageBreak/>
                    <w:t>CRIMINAL Y PENITENCIARIA DEL MINISTERIO DE JUSTICIA Y EL DERECHO, MUNICIPIO DE MARINILLA, JUZGADO PROMISCUO MUNICIPAL DE GUATAPÉ, JUZGADO 1° PENAL DEL CIRCUITO ESPECIALIZADO DE ANTIOQUIA, FISCALÍA 10 ESPECIALIZADA DE ANTIOQUIA, DEFENSA Y REPRESENTANTE DEL MINISTERIO PÚBLICO QUE INTERVIENEN EN EL PROCESO PENAL ADELANTADO CONTRA ADRIÁN FERNEY CLAVIJO PÉREZ, DEPARTAMENTO DE ANTIOQUIA Y JUZGADO PENAL DEL CIRCUITO DE MARINILLA</w:t>
                  </w:r>
                </w:p>
              </w:tc>
            </w:tr>
            <w:tr w:rsidR="00EF5BDF" w:rsidRPr="00EF5BDF" w14:paraId="316B4296" w14:textId="77777777">
              <w:trPr>
                <w:tblCellSpacing w:w="15" w:type="dxa"/>
              </w:trPr>
              <w:tc>
                <w:tcPr>
                  <w:tcW w:w="3750" w:type="dxa"/>
                  <w:hideMark/>
                </w:tcPr>
                <w:p w14:paraId="30E9D03E"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b/>
                      <w:bCs/>
                      <w:color w:val="7D3B05"/>
                      <w:sz w:val="24"/>
                      <w:szCs w:val="24"/>
                      <w:lang w:eastAsia="es-CO"/>
                    </w:rPr>
                    <w:lastRenderedPageBreak/>
                    <w:t>ACTA n.º</w:t>
                  </w:r>
                </w:p>
              </w:tc>
              <w:tc>
                <w:tcPr>
                  <w:tcW w:w="75" w:type="dxa"/>
                  <w:hideMark/>
                </w:tcPr>
                <w:p w14:paraId="14E6BA0F"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w:t>
                  </w:r>
                </w:p>
              </w:tc>
              <w:tc>
                <w:tcPr>
                  <w:tcW w:w="0" w:type="auto"/>
                  <w:vAlign w:val="center"/>
                  <w:hideMark/>
                </w:tcPr>
                <w:p w14:paraId="727C9BA0" w14:textId="77777777" w:rsidR="00EF5BDF" w:rsidRPr="00EF5BDF" w:rsidRDefault="00EF5BDF" w:rsidP="00EF5BDF">
                  <w:pPr>
                    <w:spacing w:after="0" w:line="240" w:lineRule="auto"/>
                    <w:jc w:val="both"/>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13</w:t>
                  </w:r>
                </w:p>
              </w:tc>
            </w:tr>
          </w:tbl>
          <w:p w14:paraId="7AE638E6"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p>
        </w:tc>
      </w:tr>
    </w:tbl>
    <w:p w14:paraId="443D81E2" w14:textId="77777777" w:rsidR="00EF5BDF" w:rsidRPr="00EF5BDF" w:rsidRDefault="00EF5BDF" w:rsidP="00EF5BDF">
      <w:pPr>
        <w:spacing w:after="0" w:line="240" w:lineRule="auto"/>
        <w:jc w:val="both"/>
        <w:rPr>
          <w:rFonts w:ascii="Bookman Old Style" w:eastAsia="Times New Roman" w:hAnsi="Bookman Old Style" w:cs="Times New Roman"/>
          <w:vanish/>
          <w:color w:val="000000"/>
          <w:sz w:val="24"/>
          <w:szCs w:val="24"/>
          <w:lang w:eastAsia="es-CO"/>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10"/>
      </w:tblGrid>
      <w:tr w:rsidR="00EF5BDF" w:rsidRPr="00EF5BDF" w14:paraId="3C3C6293" w14:textId="77777777" w:rsidTr="00EF5BD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CE5B6F"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p>
          <w:p w14:paraId="06AC9159" w14:textId="030311CB" w:rsidR="00EF5BDF" w:rsidRPr="00EF5BDF" w:rsidRDefault="00EF5BDF" w:rsidP="00EF5BDF">
            <w:pPr>
              <w:spacing w:after="0" w:line="240" w:lineRule="auto"/>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b/>
                <w:bCs/>
                <w:color w:val="7D3B05"/>
                <w:sz w:val="24"/>
                <w:szCs w:val="24"/>
                <w:lang w:eastAsia="es-CO"/>
              </w:rPr>
              <w:t>ASUNTO:</w:t>
            </w:r>
          </w:p>
          <w:p w14:paraId="2550B96F" w14:textId="77777777" w:rsidR="00EF5BDF" w:rsidRPr="00EF5BDF" w:rsidRDefault="00EF5BDF" w:rsidP="00EF5BDF">
            <w:pPr>
              <w:spacing w:after="0" w:line="240" w:lineRule="auto"/>
              <w:jc w:val="both"/>
              <w:rPr>
                <w:rFonts w:ascii="Bookman Old Style" w:eastAsia="Times New Roman" w:hAnsi="Bookman Old Style" w:cs="Times New Roman"/>
                <w:sz w:val="24"/>
                <w:szCs w:val="24"/>
                <w:lang w:eastAsia="es-CO"/>
              </w:rPr>
            </w:pPr>
            <w:r w:rsidRPr="00EF5BDF">
              <w:rPr>
                <w:rFonts w:ascii="Bookman Old Style" w:eastAsia="Times New Roman" w:hAnsi="Bookman Old Style" w:cs="Times New Roman"/>
                <w:sz w:val="24"/>
                <w:szCs w:val="24"/>
                <w:lang w:eastAsia="es-CO"/>
              </w:rPr>
              <w:t>PROBLEMA JURÍDICO: ¿«(...) resulta necesaria la intervención de juez constitucional para proteger las garantías fundamentales de ADRIÁN FERNEY CLAVIJO PÉREZ, quien se encuentra recluido en la Estación de Policía del Municipio de Marinilla, presuntamente en condiciones de insalubridad, y ordenar su traslado a un establecimiento de reclusión a cargo de INPEC. En caso contrario, si debe revocarse frente a este punto la decisión de primera instancia»?</w:t>
            </w:r>
          </w:p>
          <w:p w14:paraId="24E69059" w14:textId="77777777" w:rsidR="00EF5BDF" w:rsidRPr="00EF5BDF" w:rsidRDefault="00EF5BDF" w:rsidP="00EF5BDF">
            <w:pPr>
              <w:spacing w:after="0" w:line="240" w:lineRule="auto"/>
              <w:rPr>
                <w:rFonts w:ascii="Bookman Old Style" w:eastAsia="Times New Roman" w:hAnsi="Bookman Old Style" w:cs="Times New Roman"/>
                <w:sz w:val="24"/>
                <w:szCs w:val="24"/>
                <w:lang w:eastAsia="es-CO"/>
              </w:rPr>
            </w:pPr>
          </w:p>
        </w:tc>
      </w:tr>
    </w:tbl>
    <w:p w14:paraId="5271896F"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1C073C93" w14:textId="0E0FE211"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b/>
          <w:bCs/>
          <w:color w:val="7D3B05"/>
          <w:sz w:val="24"/>
          <w:szCs w:val="24"/>
          <w:lang w:eastAsia="es-CO"/>
        </w:rPr>
        <w:t>TEMA: </w:t>
      </w:r>
    </w:p>
    <w:p w14:paraId="3EDA6F73"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597674A6"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b/>
          <w:bCs/>
          <w:color w:val="000000"/>
          <w:sz w:val="24"/>
          <w:szCs w:val="24"/>
          <w:lang w:eastAsia="es-CO"/>
        </w:rPr>
        <w:t>DERECHO CONSTITUCIONAL</w:t>
      </w:r>
      <w:r w:rsidRPr="00EF5BDF">
        <w:rPr>
          <w:rFonts w:ascii="Bookman Old Style" w:eastAsia="Times New Roman" w:hAnsi="Bookman Old Style" w:cs="Times New Roman"/>
          <w:color w:val="000000"/>
          <w:sz w:val="24"/>
          <w:szCs w:val="24"/>
          <w:lang w:eastAsia="es-CO"/>
        </w:rPr>
        <w:t> - Respeto de la dignidad humana</w:t>
      </w:r>
    </w:p>
    <w:p w14:paraId="5091D165"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760D6619"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b/>
          <w:bCs/>
          <w:color w:val="000000"/>
          <w:sz w:val="24"/>
          <w:szCs w:val="24"/>
          <w:lang w:eastAsia="es-CO"/>
        </w:rPr>
        <w:t>DERECHO PENAL</w:t>
      </w:r>
      <w:r w:rsidRPr="00EF5BDF">
        <w:rPr>
          <w:rFonts w:ascii="Bookman Old Style" w:eastAsia="Times New Roman" w:hAnsi="Bookman Old Style" w:cs="Times New Roman"/>
          <w:color w:val="000000"/>
          <w:sz w:val="24"/>
          <w:szCs w:val="24"/>
          <w:lang w:eastAsia="es-CO"/>
        </w:rPr>
        <w:t> - Se fundamenta en el principio de la dignidad humana proyectándolo a todos los momentos de intervención del sistema penal</w:t>
      </w:r>
    </w:p>
    <w:p w14:paraId="1BAD9772"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6CBF3BC6"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b/>
          <w:bCs/>
          <w:color w:val="000000"/>
          <w:sz w:val="24"/>
          <w:szCs w:val="24"/>
          <w:lang w:eastAsia="es-CO"/>
        </w:rPr>
        <w:t>DERECHOS FUNDAMENTALES DE LAS PERSONA PRIVADA DE LA LIBERTAD</w:t>
      </w:r>
      <w:r w:rsidRPr="00EF5BDF">
        <w:rPr>
          <w:rFonts w:ascii="Bookman Old Style" w:eastAsia="Times New Roman" w:hAnsi="Bookman Old Style" w:cs="Times New Roman"/>
          <w:color w:val="000000"/>
          <w:sz w:val="24"/>
          <w:szCs w:val="24"/>
          <w:lang w:eastAsia="es-CO"/>
        </w:rPr>
        <w:t> - Derecho a la dignidad humana: pilar central de la relación entre el Estado y la persona privada de la libertad</w:t>
      </w:r>
    </w:p>
    <w:p w14:paraId="640B41E4"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53634F3D"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b/>
          <w:bCs/>
          <w:color w:val="000000"/>
          <w:sz w:val="24"/>
          <w:szCs w:val="24"/>
          <w:lang w:eastAsia="es-CO"/>
        </w:rPr>
        <w:t>RÉGIMEN PENITENCIARIO Y CARCELARIO</w:t>
      </w:r>
      <w:r w:rsidRPr="00EF5BDF">
        <w:rPr>
          <w:rFonts w:ascii="Bookman Old Style" w:eastAsia="Times New Roman" w:hAnsi="Bookman Old Style" w:cs="Times New Roman"/>
          <w:color w:val="000000"/>
          <w:sz w:val="24"/>
          <w:szCs w:val="24"/>
          <w:lang w:eastAsia="es-CO"/>
        </w:rPr>
        <w:t> - Instituto penitenciario y carcelario (</w:t>
      </w:r>
      <w:proofErr w:type="spellStart"/>
      <w:r w:rsidRPr="00EF5BDF">
        <w:rPr>
          <w:rFonts w:ascii="Bookman Old Style" w:eastAsia="Times New Roman" w:hAnsi="Bookman Old Style" w:cs="Times New Roman"/>
          <w:color w:val="000000"/>
          <w:sz w:val="24"/>
          <w:szCs w:val="24"/>
          <w:lang w:eastAsia="es-CO"/>
        </w:rPr>
        <w:t>Inpec</w:t>
      </w:r>
      <w:proofErr w:type="spellEnd"/>
      <w:r w:rsidRPr="00EF5BDF">
        <w:rPr>
          <w:rFonts w:ascii="Bookman Old Style" w:eastAsia="Times New Roman" w:hAnsi="Bookman Old Style" w:cs="Times New Roman"/>
          <w:color w:val="000000"/>
          <w:sz w:val="24"/>
          <w:szCs w:val="24"/>
          <w:lang w:eastAsia="es-CO"/>
        </w:rPr>
        <w:t xml:space="preserve">) - Funciones: obligación del </w:t>
      </w:r>
      <w:proofErr w:type="spellStart"/>
      <w:r w:rsidRPr="00EF5BDF">
        <w:rPr>
          <w:rFonts w:ascii="Bookman Old Style" w:eastAsia="Times New Roman" w:hAnsi="Bookman Old Style" w:cs="Times New Roman"/>
          <w:color w:val="000000"/>
          <w:sz w:val="24"/>
          <w:szCs w:val="24"/>
          <w:lang w:eastAsia="es-CO"/>
        </w:rPr>
        <w:t>inpec</w:t>
      </w:r>
      <w:proofErr w:type="spellEnd"/>
      <w:r w:rsidRPr="00EF5BDF">
        <w:rPr>
          <w:rFonts w:ascii="Bookman Old Style" w:eastAsia="Times New Roman" w:hAnsi="Bookman Old Style" w:cs="Times New Roman"/>
          <w:color w:val="000000"/>
          <w:sz w:val="24"/>
          <w:szCs w:val="24"/>
          <w:lang w:eastAsia="es-CO"/>
        </w:rPr>
        <w:t xml:space="preserve"> de ejecutar la pena privativa de la libertad impuesta en sentencia condenatoria, el control de las medidas de aseguramiento, el mecanismo de seguridad electrónica y la ejecución del trabajo social no remunerado</w:t>
      </w:r>
    </w:p>
    <w:p w14:paraId="6FC26D6A"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56EBF98F"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b/>
          <w:bCs/>
          <w:color w:val="000000"/>
          <w:sz w:val="24"/>
          <w:szCs w:val="24"/>
          <w:lang w:eastAsia="es-CO"/>
        </w:rPr>
        <w:t>DERECHOS FUNDAMENTALES DE LA PERSONA PRIVADA DE LA LIBERTAD</w:t>
      </w:r>
      <w:r w:rsidRPr="00EF5BDF">
        <w:rPr>
          <w:rFonts w:ascii="Bookman Old Style" w:eastAsia="Times New Roman" w:hAnsi="Bookman Old Style" w:cs="Times New Roman"/>
          <w:color w:val="000000"/>
          <w:sz w:val="24"/>
          <w:szCs w:val="24"/>
          <w:lang w:eastAsia="es-CO"/>
        </w:rPr>
        <w:t> - Personas privadas de la libertad en estaciones y subestaciones de policía y en unidades de reacción inmediata: término de la reclusión y condiciones mínimas que deben garantizarse</w:t>
      </w:r>
    </w:p>
    <w:p w14:paraId="4BDF7090"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28E2888B"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b/>
          <w:bCs/>
          <w:color w:val="000000"/>
          <w:sz w:val="24"/>
          <w:szCs w:val="24"/>
          <w:lang w:eastAsia="es-CO"/>
        </w:rPr>
        <w:lastRenderedPageBreak/>
        <w:t>DERECHOS FUNDAMENTALES DE LA PERSONA PRIVADA DE LA LIBERTAD</w:t>
      </w:r>
      <w:r w:rsidRPr="00EF5BDF">
        <w:rPr>
          <w:rFonts w:ascii="Bookman Old Style" w:eastAsia="Times New Roman" w:hAnsi="Bookman Old Style" w:cs="Times New Roman"/>
          <w:color w:val="000000"/>
          <w:sz w:val="24"/>
          <w:szCs w:val="24"/>
          <w:lang w:eastAsia="es-CO"/>
        </w:rPr>
        <w:t xml:space="preserve"> - Custodia y cuidado de las personas privadas de la libertad por orden de autoridad judicial - Competencia del </w:t>
      </w:r>
      <w:proofErr w:type="spellStart"/>
      <w:r w:rsidRPr="00EF5BDF">
        <w:rPr>
          <w:rFonts w:ascii="Bookman Old Style" w:eastAsia="Times New Roman" w:hAnsi="Bookman Old Style" w:cs="Times New Roman"/>
          <w:color w:val="000000"/>
          <w:sz w:val="24"/>
          <w:szCs w:val="24"/>
          <w:lang w:eastAsia="es-CO"/>
        </w:rPr>
        <w:t>Inpec</w:t>
      </w:r>
      <w:proofErr w:type="spellEnd"/>
      <w:r w:rsidRPr="00EF5BDF">
        <w:rPr>
          <w:rFonts w:ascii="Bookman Old Style" w:eastAsia="Times New Roman" w:hAnsi="Bookman Old Style" w:cs="Times New Roman"/>
          <w:color w:val="000000"/>
          <w:sz w:val="24"/>
          <w:szCs w:val="24"/>
          <w:lang w:eastAsia="es-CO"/>
        </w:rPr>
        <w:t>: posición de garante</w:t>
      </w:r>
    </w:p>
    <w:p w14:paraId="439773A2"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2A2897FB"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b/>
          <w:bCs/>
          <w:color w:val="000000"/>
          <w:sz w:val="24"/>
          <w:szCs w:val="24"/>
          <w:lang w:eastAsia="es-CO"/>
        </w:rPr>
        <w:t>ESTADO DE EMERGENCIA SOCIAL, ECONÓMICA Y ECOLÓGICA</w:t>
      </w:r>
      <w:r w:rsidRPr="00EF5BDF">
        <w:rPr>
          <w:rFonts w:ascii="Bookman Old Style" w:eastAsia="Times New Roman" w:hAnsi="Bookman Old Style" w:cs="Times New Roman"/>
          <w:color w:val="000000"/>
          <w:sz w:val="24"/>
          <w:szCs w:val="24"/>
          <w:lang w:eastAsia="es-CO"/>
        </w:rPr>
        <w:t> - Emergencia sanitaria por Covid-19 - Medidas para sustituir la pena de prisión y la medida de aseguramiento intramural por la prisión y detención domiciliaria transitoria a la población de mayor vulnerabilidad: suspensión del traslado de personas privadas de la libertad de entes departamentales o municipales</w:t>
      </w:r>
    </w:p>
    <w:p w14:paraId="3394AB4B"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5C3C86C9"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b/>
          <w:bCs/>
          <w:color w:val="000000"/>
          <w:sz w:val="24"/>
          <w:szCs w:val="24"/>
          <w:lang w:eastAsia="es-CO"/>
        </w:rPr>
        <w:t>ESTADO DE EMERGENCIA SOCIAL, ECONÓMICA Y ECOLÓGICA</w:t>
      </w:r>
      <w:r w:rsidRPr="00EF5BDF">
        <w:rPr>
          <w:rFonts w:ascii="Bookman Old Style" w:eastAsia="Times New Roman" w:hAnsi="Bookman Old Style" w:cs="Times New Roman"/>
          <w:color w:val="000000"/>
          <w:sz w:val="24"/>
          <w:szCs w:val="24"/>
          <w:lang w:eastAsia="es-CO"/>
        </w:rPr>
        <w:t> - Emergencia sanitaria por Covid-19 - Estado de Emergencia Penitenciaria y Carcelaria - Planificación y Programación a desarrollar en los ERON, para la recepción de Personas Privadas de la Libertad condenadas, provenientes de los centros de detención transitoria: instrucciones que deben seguir los Directores Regionales y Directores de Establecimientos de Reclusión del Orden Nacional</w:t>
      </w:r>
    </w:p>
    <w:p w14:paraId="705A8897"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43ABB57E"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b/>
          <w:bCs/>
          <w:color w:val="000000"/>
          <w:sz w:val="24"/>
          <w:szCs w:val="24"/>
          <w:lang w:eastAsia="es-CO"/>
        </w:rPr>
        <w:t>ESTADO DE EMERGENCIA SOCIAL, ECONÓMICA Y ECOLÓGICA</w:t>
      </w:r>
      <w:r w:rsidRPr="00EF5BDF">
        <w:rPr>
          <w:rFonts w:ascii="Bookman Old Style" w:eastAsia="Times New Roman" w:hAnsi="Bookman Old Style" w:cs="Times New Roman"/>
          <w:color w:val="000000"/>
          <w:sz w:val="24"/>
          <w:szCs w:val="24"/>
          <w:lang w:eastAsia="es-CO"/>
        </w:rPr>
        <w:t> - Emergencia sanitaria por Covid-19 - Estado de Emergencia Penitenciaria y Carcelaria: circular 0016 del 7 de abril de 2020 que establece las instrucciones para traslados de las personas privadas de la libertad</w:t>
      </w:r>
    </w:p>
    <w:p w14:paraId="1DD3B9B7"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341DF3E7"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b/>
          <w:bCs/>
          <w:color w:val="000000"/>
          <w:sz w:val="24"/>
          <w:szCs w:val="24"/>
          <w:lang w:eastAsia="es-CO"/>
        </w:rPr>
        <w:t>DERECHOS FUNDAMENTALES DE LA PERSONA PRIVADA DE LA LIBERTAD</w:t>
      </w:r>
      <w:r w:rsidRPr="00EF5BDF">
        <w:rPr>
          <w:rFonts w:ascii="Bookman Old Style" w:eastAsia="Times New Roman" w:hAnsi="Bookman Old Style" w:cs="Times New Roman"/>
          <w:color w:val="000000"/>
          <w:sz w:val="24"/>
          <w:szCs w:val="24"/>
          <w:lang w:eastAsia="es-CO"/>
        </w:rPr>
        <w:t> - Personas privadas de la libertad en estaciones y subestaciones de policía y en unidades de reacción inmediata: protección constitucional de los derechos a la dignidad humana, debido proceso y acceso a la administración de justicia del accionante, privado de la libertad en la Estación de Policía de Marinilla, para garantizar su traslado al establecimiento carcelario de Santa Fe o Ciudad Bolívar de Antioquia, bajo estrictas medidas de seguridad y bioseguridad</w:t>
      </w:r>
    </w:p>
    <w:p w14:paraId="5B02D566"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1ADC239F"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b/>
          <w:bCs/>
          <w:color w:val="7D3B05"/>
          <w:sz w:val="24"/>
          <w:szCs w:val="24"/>
          <w:lang w:eastAsia="es-CO"/>
        </w:rPr>
        <w:t>Tesis:</w:t>
      </w:r>
    </w:p>
    <w:p w14:paraId="200499F3"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«El artículo 1º de la Constitución Política proclama que Colombia se funda en el respeto de la dignidad humana y, replicando esta norma superior, el Código Penal indica que el derecho penal se cimienta en el mencionado principio, proyectándolo a todos los momentos de intervención del sistema penal.</w:t>
      </w:r>
    </w:p>
    <w:p w14:paraId="7ABA2FEA"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7D9198C7"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La jurisprudencia constitucional ha señalado que dentro de los deberes que surgen en cabeza del Estado, como contrapartida al ejercicio del legítimo poder punitivo, se destaca que el respecto por la dignidad humana constituye el pilar central de la relación entre el Estado y la persona privada de la libertad, mandamiento que es además de aplicación universal, reconocido expresamente por los tratados y convenios de derechos humanos, prevalentes en el orden interno (art. 93, CP). (CC. Sentencia T-151-16).</w:t>
      </w:r>
    </w:p>
    <w:p w14:paraId="510F1FB5"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5A1065FB"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 xml:space="preserve">De acuerdo con lo dispuesto en el artículo 14 de la Ley 65 de 1993, corresponde al Instituto Nacional Penitenciario y Carcelario (INPEC) la </w:t>
      </w:r>
      <w:r w:rsidRPr="00EF5BDF">
        <w:rPr>
          <w:rFonts w:ascii="Bookman Old Style" w:eastAsia="Times New Roman" w:hAnsi="Bookman Old Style" w:cs="Times New Roman"/>
          <w:color w:val="000000"/>
          <w:sz w:val="24"/>
          <w:szCs w:val="24"/>
          <w:lang w:eastAsia="es-CO"/>
        </w:rPr>
        <w:lastRenderedPageBreak/>
        <w:t>ejecución de la pena privativa de la libertad impuesta en sentencia penal condenatoria, el control de las medidas de aseguramiento, del mecanismo de seguridad electrónica y de la ejecución del trabajo social no remunerado. Función que se traslada a los departamentos, distritos, municipios y áreas metropolitanas, cuando las personas se encuentren recluidas en algún establecimiento a su cargo, canon 17 ibidem.</w:t>
      </w:r>
    </w:p>
    <w:p w14:paraId="284C0B08"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001C245E"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 </w:t>
      </w:r>
    </w:p>
    <w:p w14:paraId="258A7E80"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6E59F7AF"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El precepto 28A de la normatividad en cita, establece que la detención en las Unidades de Reacción Inmediata - URI - o centros similares, no puede superar las 36 horas, debiéndose garantizar ciertas condiciones como lo son, separación entre hombres y mujeres, ventilación y luz solar suficientes, apartamiento de los menores de edad y acceso a baño.</w:t>
      </w:r>
    </w:p>
    <w:p w14:paraId="23402F14"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6A884055"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La jurisprudencia constitucional, en alusión a la retención de ciudadanos en sitios transitorios, ha dicho que (i) la privación no puede superar las treinta y seis (36) horas, (</w:t>
      </w:r>
      <w:proofErr w:type="spellStart"/>
      <w:r w:rsidRPr="00EF5BDF">
        <w:rPr>
          <w:rFonts w:ascii="Bookman Old Style" w:eastAsia="Times New Roman" w:hAnsi="Bookman Old Style" w:cs="Times New Roman"/>
          <w:color w:val="000000"/>
          <w:sz w:val="24"/>
          <w:szCs w:val="24"/>
          <w:lang w:eastAsia="es-CO"/>
        </w:rPr>
        <w:t>ii</w:t>
      </w:r>
      <w:proofErr w:type="spellEnd"/>
      <w:r w:rsidRPr="00EF5BDF">
        <w:rPr>
          <w:rFonts w:ascii="Bookman Old Style" w:eastAsia="Times New Roman" w:hAnsi="Bookman Old Style" w:cs="Times New Roman"/>
          <w:color w:val="000000"/>
          <w:sz w:val="24"/>
          <w:szCs w:val="24"/>
          <w:lang w:eastAsia="es-CO"/>
        </w:rPr>
        <w:t xml:space="preserve">) aunque no son establecimientos de detención preventiva o carcelarios, deben garantizar condiciones acordes a la dignidad humana y, </w:t>
      </w:r>
      <w:proofErr w:type="spellStart"/>
      <w:r w:rsidRPr="00EF5BDF">
        <w:rPr>
          <w:rFonts w:ascii="Bookman Old Style" w:eastAsia="Times New Roman" w:hAnsi="Bookman Old Style" w:cs="Times New Roman"/>
          <w:color w:val="000000"/>
          <w:sz w:val="24"/>
          <w:szCs w:val="24"/>
          <w:lang w:eastAsia="es-CO"/>
        </w:rPr>
        <w:t>iv</w:t>
      </w:r>
      <w:proofErr w:type="spellEnd"/>
      <w:r w:rsidRPr="00EF5BDF">
        <w:rPr>
          <w:rFonts w:ascii="Bookman Old Style" w:eastAsia="Times New Roman" w:hAnsi="Bookman Old Style" w:cs="Times New Roman"/>
          <w:color w:val="000000"/>
          <w:sz w:val="24"/>
          <w:szCs w:val="24"/>
          <w:lang w:eastAsia="es-CO"/>
        </w:rPr>
        <w:t>) que la posición de garante del INPEC no surge por el lugar en donde haya sido confinado el detenido o condenado (si es o no un establecimiento de reclusión), sino porque en virtud de orden judicial la persona debe permanecer privada de la libertad en un establecimiento carcelario o penitenciario. (CC T-151/16).</w:t>
      </w:r>
    </w:p>
    <w:p w14:paraId="3FE03540"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0266D42B"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3. A raíz del estado actual de emergencia social y económica declarado por el gobierno nacional con ocasión de la pandemia derivada del virus COVID-19, se expidió el Decreto Legislativo 546 de 2020, que en su artículo 27 dispuso:</w:t>
      </w:r>
    </w:p>
    <w:p w14:paraId="3EE9569B"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251D75E2"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Artículo 27: Suspensión del traslado de personas privadas de la libertad de entes departamentales o municipales.</w:t>
      </w:r>
    </w:p>
    <w:p w14:paraId="18AA292A"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5B17CD23"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A partir de la fecha de vigencia del presente Decreto Legislativo, quedan suspendidas por el término de tres (3) meses, los traslados de personas con medida de aseguramiento de detención preventiva y personas condenadas que se encuentren en los centros detención transitoria como las Estaciones de Policía y Unidades de Reacción Inmediata, a los Establecimientos Penitenciarios y Carcelarios del orden nacional por cuenta del Instituto Nacional Penitenciario y Carcelario (INPEC).</w:t>
      </w:r>
    </w:p>
    <w:p w14:paraId="2ABE0CBA"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52C2593C"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Para tal efecto, las entidades territoriales, de conformidad con lo dispuesto en el artículo 42 de la Ley 80 de 1990 Y artículo 17 la Ley 65 1993, deberán adelantar las gestiones para garantizar las condiciones de reclusión de las personas privadas la libertad, con medidas aseguramiento y condenadas en centros transitorios de detención como Estaciones de Policía, Unidades de Reacción Inmediata y otros; durante este periodo podrán acudir a los fondos de infraestructura carcelaria municipales o departamentales que hayan creado, con las fuentes previstas en el parágrafo 3° del artículo 133 de la Ley 1955 de 2019.</w:t>
      </w:r>
    </w:p>
    <w:p w14:paraId="0E92EC26"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27E029E7"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No obstante, habida cuenta que el término contenido en la normativa anterior expiró el 14 de julio de 2020, la Dirección General del INPEC, a través de la Circular 00036 de la misma fecha, impartió instrucciones a los Directores Regionales y Directores de Establecimientos de Reclusión del Orden Nacional, quienes deberán realizar, entre otras, las siguientes actividades para la Planificación y Programación a desarrollar en los ERON, para la recepción de Personas Privadas de la Libertad -PPL-, condenadas, provenientes de los Centros de Detención Transitoria (Estaciones de Policía y URI).</w:t>
      </w:r>
    </w:p>
    <w:p w14:paraId="668EC73D"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22132503"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“Instrucciones Generales.</w:t>
      </w:r>
    </w:p>
    <w:p w14:paraId="6524F676"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3D45E614"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1. Ningún Director de ERON podrá autorizar la recepción de una PPL, sin que medie acto administrativo de asignación por parte de la Dirección Regional o Dirección General del INPEC.</w:t>
      </w:r>
    </w:p>
    <w:p w14:paraId="1A568CE1"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69D2B03B"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2. Los establecimientos que registran un hacinamiento superior al 50% de su capacidad real, no están autorizados para realizar la recepción de PPL.</w:t>
      </w:r>
    </w:p>
    <w:p w14:paraId="20F05A2F"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57AD003C"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3. En aquellos ERON que se encuentran en el rango entre el O al 50% de hacinamiento, se recibirán PPL únicamente bajo la disposición de la Dirección General, previa solicitud de la Dirección Regional, aplicando la regla de equilibrio decreciente (1 PPL por cada 2 que salgan).</w:t>
      </w:r>
    </w:p>
    <w:p w14:paraId="40F88CB2"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4D0FBE77"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4. La reactivación de la recepción de Personas Privadas de la Libertad condenadas, provenientes de los Centros de Detención Transitoria (Estaciones de Policía y URI) y cárceles municipales, departamentales y distritales, estará focalizada inicialmente a aquellas que no registren casos confirmados de COVID-19.</w:t>
      </w:r>
    </w:p>
    <w:p w14:paraId="675DF35D"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40D210EF"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 xml:space="preserve">5. Los traslados entre Establecimientos de Reclusión del Orden Nacional continúan suspendidos y siguen estrictamente limitados a la previa autorización del Director General del </w:t>
      </w:r>
      <w:proofErr w:type="spellStart"/>
      <w:r w:rsidRPr="00EF5BDF">
        <w:rPr>
          <w:rFonts w:ascii="Bookman Old Style" w:eastAsia="Times New Roman" w:hAnsi="Bookman Old Style" w:cs="Times New Roman"/>
          <w:color w:val="000000"/>
          <w:sz w:val="24"/>
          <w:szCs w:val="24"/>
          <w:lang w:eastAsia="es-CO"/>
        </w:rPr>
        <w:t>lNPEC</w:t>
      </w:r>
      <w:proofErr w:type="spellEnd"/>
      <w:r w:rsidRPr="00EF5BDF">
        <w:rPr>
          <w:rFonts w:ascii="Bookman Old Style" w:eastAsia="Times New Roman" w:hAnsi="Bookman Old Style" w:cs="Times New Roman"/>
          <w:color w:val="000000"/>
          <w:sz w:val="24"/>
          <w:szCs w:val="24"/>
          <w:lang w:eastAsia="es-CO"/>
        </w:rPr>
        <w:t>.</w:t>
      </w:r>
    </w:p>
    <w:p w14:paraId="1F9ADFC3"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3A24CD45"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 xml:space="preserve">6. Diariamente los Directores Regionales informarán por escrito a la Dirección General las cifras de PPL </w:t>
      </w:r>
      <w:proofErr w:type="spellStart"/>
      <w:r w:rsidRPr="00EF5BDF">
        <w:rPr>
          <w:rFonts w:ascii="Bookman Old Style" w:eastAsia="Times New Roman" w:hAnsi="Bookman Old Style" w:cs="Times New Roman"/>
          <w:color w:val="000000"/>
          <w:sz w:val="24"/>
          <w:szCs w:val="24"/>
          <w:lang w:eastAsia="es-CO"/>
        </w:rPr>
        <w:t>recepcionadas</w:t>
      </w:r>
      <w:proofErr w:type="spellEnd"/>
      <w:r w:rsidRPr="00EF5BDF">
        <w:rPr>
          <w:rFonts w:ascii="Bookman Old Style" w:eastAsia="Times New Roman" w:hAnsi="Bookman Old Style" w:cs="Times New Roman"/>
          <w:color w:val="000000"/>
          <w:sz w:val="24"/>
          <w:szCs w:val="24"/>
          <w:lang w:eastAsia="es-CO"/>
        </w:rPr>
        <w:t xml:space="preserve"> discriminando los establecimientos asignados y la proyección para el siguiente día, a efectos de generar control y articulación en virtud de las asignaciones que realizará el nivel central para los casos de su competencia y a fin de no superar las capacidades en las áreas de aislamiento definidas y los cupos disponibles identificados en los ERON.</w:t>
      </w:r>
    </w:p>
    <w:p w14:paraId="2A9DA813"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731A8ABC"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Directores Regionales.</w:t>
      </w:r>
    </w:p>
    <w:p w14:paraId="7EEE88F0"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7DDB5EA7"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Sobre los establecimientos de Reclusión de su jurisdicción:</w:t>
      </w:r>
    </w:p>
    <w:p w14:paraId="0476D97C"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400F96B9"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 xml:space="preserve">1. Atender los requerimientos de recepción de (PPL) provenientes de los Centros de Detención Transitoria (Estaciones de Policía y URI), en cumplimiento a la competencia de asignación de (ERON) prevista en el </w:t>
      </w:r>
      <w:r w:rsidRPr="00EF5BDF">
        <w:rPr>
          <w:rFonts w:ascii="Bookman Old Style" w:eastAsia="Times New Roman" w:hAnsi="Bookman Old Style" w:cs="Times New Roman"/>
          <w:color w:val="000000"/>
          <w:sz w:val="24"/>
          <w:szCs w:val="24"/>
          <w:lang w:eastAsia="es-CO"/>
        </w:rPr>
        <w:lastRenderedPageBreak/>
        <w:t>artículo 3.1 de la Resolución No. 001203 del 16/04/2012 por parte de las Direcciones Regionales.</w:t>
      </w:r>
    </w:p>
    <w:p w14:paraId="373CA3A9"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61CECC64"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"Asignar Establecimiento de Reclusión, del orden Nacional dentro de la jurisdicción de la respectiva Regional, a personas contra las cuales se haya dispuesto la medida de privación de la libertad, expedida por autoridad judicial, y que se encuentren en sitios transitorios de reclusión de la Fiscalía General de la Nación u otros Organismos de Seguridad del Estado, a excepción de quienes deben ser recluidos en pabellones o Establecimientos de Reclusión Especial, Pabellones de Justicia y Paz, y capturados con fines de extradición.(…)"</w:t>
      </w:r>
    </w:p>
    <w:p w14:paraId="443B72C8"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587FC802"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En tal sentido, la asignación se realizará de acuerdo a la capacidad de las zonas de aislamiento con las que cuenten los establecimientos a los que van a ser enviadas las PPL.</w:t>
      </w:r>
    </w:p>
    <w:p w14:paraId="6C784EA2"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298BC952"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2. Consolidar y tramitar ante la Dirección General del INPEC, a través del coordinador del Grupo de Asuntos Penitenciarios, la documentación de las Personas Privadas de la Libertad condenadas que se encuentran en las cárceles municipales, departamentales y distritales de su jurisdicción.</w:t>
      </w:r>
    </w:p>
    <w:p w14:paraId="75FDACE9"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55FB414A"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Previo a la anterior disposición, la Dirección General del INPEC, emitió la circular 0016 del 7 de abril de 2020, en la que estableció los siguientes parámetros relacionados con el traslado y recepción de Personas Privadas de la Libertad (PPL) en los ERON:</w:t>
      </w:r>
    </w:p>
    <w:p w14:paraId="00D7A2B8"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2D265A0A"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w:t>
      </w:r>
    </w:p>
    <w:p w14:paraId="7ABAEB62"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414D8865"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 xml:space="preserve">“Los ERON podrán recibir aquellos PPL que provengan de las Estaciones de Policía o URI, priorizando aquellos con situación jurídica de condenados así como los sindicados con altos perfiles delincuenciales, debiendo coordinar que previamente se realice el tamizaje y examen médico por parte de la Secretaria de Salud así como por parte de los médicos del consorcio al ingreso de cada ERON, teniendo como base las disposiciones contenidas en el documento "LINEAMIENTOS PARA CONTROL Y PREVENCIÓN DE CASOS POR COVID- 19 PARA LA POBLACIÓN PRIVADA DE LA LIBERTAD-PPL EN COLOMBIA Código GIPS10 Versión 01, del Ministerio de Salud y Protección Social, y la Circular 000004 del 11 de marzo de 2020 "Directrices Para la prevención e implementación de medidas de control ante casos probables v confirmados de COVID-19", de </w:t>
      </w:r>
      <w:proofErr w:type="spellStart"/>
      <w:r w:rsidRPr="00EF5BDF">
        <w:rPr>
          <w:rFonts w:ascii="Bookman Old Style" w:eastAsia="Times New Roman" w:hAnsi="Bookman Old Style" w:cs="Times New Roman"/>
          <w:color w:val="000000"/>
          <w:sz w:val="24"/>
          <w:szCs w:val="24"/>
          <w:lang w:eastAsia="es-CO"/>
        </w:rPr>
        <w:t>Ia</w:t>
      </w:r>
      <w:proofErr w:type="spellEnd"/>
      <w:r w:rsidRPr="00EF5BDF">
        <w:rPr>
          <w:rFonts w:ascii="Bookman Old Style" w:eastAsia="Times New Roman" w:hAnsi="Bookman Old Style" w:cs="Times New Roman"/>
          <w:color w:val="000000"/>
          <w:sz w:val="24"/>
          <w:szCs w:val="24"/>
          <w:lang w:eastAsia="es-CO"/>
        </w:rPr>
        <w:t xml:space="preserve"> Dirección General del INPEC.</w:t>
      </w:r>
    </w:p>
    <w:p w14:paraId="151E5C8D"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1DA37099"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En todo caso los PPL que ingresen a los ERON deberán ser puestos en una cuarentena preventiva por un tiempo mínimo de 14 días, a fin de confirmar el dictamen médico negativo, en razón a la posibilidad de contagios asintomáticos. Para tal efecto, el Director del ERON deberá adecuar espacios idóneos para llevar a cabo dicha cuarentena, los cuales contaran con los mínimos establecidos para unas condiciones dignas de reclusión”.</w:t>
      </w:r>
    </w:p>
    <w:p w14:paraId="44EB8471"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5A824353"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lastRenderedPageBreak/>
        <w:t>4. En el presente evento, ADRIÁN FERNEY CLAVIJO PÉREZ se encuentra privado de la libertad en la estación de policía del municipio de Marinilla-Antioquia desde el 19 de diciembre de 2019, motivo por el cual, su progenitora promovió la acción de tutela, afirmando que la reclusión se ejecuta en condiciones indignas e inhumanas, no le permiten visitas, horas de sol, útiles de aseo y posibilidades de redención de pena.</w:t>
      </w:r>
    </w:p>
    <w:p w14:paraId="70EF9429"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40A8B86A"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En primera instancia, se constató que respecto de los insumos de aseo y de bioseguridad, fueron entregados a los internos por la Personería Municipal de Marinilla, y por su intervención, la Secretaría de Gobierno del mismo lugar permitió a los reclusos visitas virtuales por la contingencia del COVID 19, llamadas telefónicas a los familiares, se remitieran al médico a quienes lo necesitaban y se autorizara el respectivo arreglo de daños locatarios que se presentan en las celdas.</w:t>
      </w:r>
    </w:p>
    <w:p w14:paraId="569776EC"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7F9ABA63"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Sin embargo, también se informó por parte del agente del ministerio público, que hay hacinamiento en la estación de policía de ese municipio, pues existen 12 personas privadas de la libertad, entre los cuales, 4 son condenados, y la celda no es óptima para los detenidos, pues está en condiciones insalubres e inadecuadas, por presentar problemas estructurales por una humedad cercana a la zona de los servicios sanitarios, generando un espacio frío e inadecuado.</w:t>
      </w:r>
    </w:p>
    <w:p w14:paraId="45DC414D"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03D19DD4"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 xml:space="preserve">Por esta razón, la colegiatura de primera instancia amparó los derechos fundamentales a la vida digna, debido proceso y el acceso a la administración de justicia de ADRIÁN FERNEY CLAVIJO PÉREZ, y ordenó al Departamento de Policía de Antioquia, Estación de Policía de Marinilla, Dirección General del INPEC, Dirección Regional Noroeste del </w:t>
      </w:r>
      <w:proofErr w:type="spellStart"/>
      <w:r w:rsidRPr="00EF5BDF">
        <w:rPr>
          <w:rFonts w:ascii="Bookman Old Style" w:eastAsia="Times New Roman" w:hAnsi="Bookman Old Style" w:cs="Times New Roman"/>
          <w:color w:val="000000"/>
          <w:sz w:val="24"/>
          <w:szCs w:val="24"/>
          <w:lang w:eastAsia="es-CO"/>
        </w:rPr>
        <w:t>Inpec</w:t>
      </w:r>
      <w:proofErr w:type="spellEnd"/>
      <w:r w:rsidRPr="00EF5BDF">
        <w:rPr>
          <w:rFonts w:ascii="Bookman Old Style" w:eastAsia="Times New Roman" w:hAnsi="Bookman Old Style" w:cs="Times New Roman"/>
          <w:color w:val="000000"/>
          <w:sz w:val="24"/>
          <w:szCs w:val="24"/>
          <w:lang w:eastAsia="es-CO"/>
        </w:rPr>
        <w:t>, el traslado del accionante al establecimiento carcelario de Santa Fe o Ciudad Bolívar de Antioquia, bajo estrictas medidas de seguridad y bioseguridad.</w:t>
      </w:r>
    </w:p>
    <w:p w14:paraId="77EACC90"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4B459938"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Dicha orden fue impugnada por la Dirección General del INPEC, que manifestó que el fallo contraviene las medidas adoptadas por esa entidad, para mitigar, prevenir y controlar la pandemia del Covid-19 en los establecimientos penitenciarios, por tanto, solicitó la revocatoria del mandato o la exclusión del mismo, por ser competencia de la Regional Noreste del INPEC.</w:t>
      </w:r>
    </w:p>
    <w:p w14:paraId="3BF29FBD"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6587C9CD"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Sin embargo, conforme a lo esbozado, no puede pasar por alto la Colegiatura, tal como lo consideró el a quo, que la privación de la libertad de ADRIÁN FERNEY CLAVIJO PÉREZ debe ejecutarse en condiciones acordes con el principio de la dignidad humana, que debe garantizar el Estado Colombiano en virtud de la especial sujeción existente y que se trata un derecho inalienable que no puede ser restringido, circunstancias que la Estación de Policía de Marinilla no ofrece, máxime que lleva más de un año recluido en ese lugar.</w:t>
      </w:r>
    </w:p>
    <w:p w14:paraId="6421159D"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1721F1E1"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 xml:space="preserve">La circular 036 de 2020 dispuso el traslado gradual de la población privada de la libertad de los centros de detención transitoria a los distintos </w:t>
      </w:r>
      <w:r w:rsidRPr="00EF5BDF">
        <w:rPr>
          <w:rFonts w:ascii="Bookman Old Style" w:eastAsia="Times New Roman" w:hAnsi="Bookman Old Style" w:cs="Times New Roman"/>
          <w:color w:val="000000"/>
          <w:sz w:val="24"/>
          <w:szCs w:val="24"/>
          <w:lang w:eastAsia="es-CO"/>
        </w:rPr>
        <w:lastRenderedPageBreak/>
        <w:t xml:space="preserve">Establecimientos de reclusión y priorizó esa medida para quienes tuvieran la condición de condenados; para ello, se debía tomar en cuenta el índice de sobrepoblación de modo tal que: i) en los centros carcelarios con hacinamiento superior al 50% no podían recibir PPL y </w:t>
      </w:r>
      <w:proofErr w:type="spellStart"/>
      <w:r w:rsidRPr="00EF5BDF">
        <w:rPr>
          <w:rFonts w:ascii="Bookman Old Style" w:eastAsia="Times New Roman" w:hAnsi="Bookman Old Style" w:cs="Times New Roman"/>
          <w:color w:val="000000"/>
          <w:sz w:val="24"/>
          <w:szCs w:val="24"/>
          <w:lang w:eastAsia="es-CO"/>
        </w:rPr>
        <w:t>ii</w:t>
      </w:r>
      <w:proofErr w:type="spellEnd"/>
      <w:r w:rsidRPr="00EF5BDF">
        <w:rPr>
          <w:rFonts w:ascii="Bookman Old Style" w:eastAsia="Times New Roman" w:hAnsi="Bookman Old Style" w:cs="Times New Roman"/>
          <w:color w:val="000000"/>
          <w:sz w:val="24"/>
          <w:szCs w:val="24"/>
          <w:lang w:eastAsia="es-CO"/>
        </w:rPr>
        <w:t>) en los establecimientos con hacinamiento entre 0 y 50% sí se permitiría el ingreso de PPL pero aplicando “la regla de equilibro decreciente”.</w:t>
      </w:r>
    </w:p>
    <w:p w14:paraId="6A131D5C"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75547EFA"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El Tribunal destacó que en el Departamento de Antioquia los Establecimientos carcelarios de Santa Fe y Ciudad Bolívar no tenían hacinamiento y, por el contrario, reportaban disponibilidad de cupos.</w:t>
      </w:r>
    </w:p>
    <w:p w14:paraId="7A367A45"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1D9E1F05"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De esa manera, se advierte que ante la inexistencia de sobrepoblación carcelaria en esos centros penitenciarios, resulta razonable emitir la orden de generación de cupo para el caso de ADRIÁN FERNEY CLAVIJO PÉREZ, especialmente, por las deficientes condiciones que presenta el centro de reclusión transitoria de la estación de policía del municipio de Marinilla y el prolongado lapso que allí lleva recluido el accionante.</w:t>
      </w:r>
    </w:p>
    <w:p w14:paraId="0D134D0D"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139812DE"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color w:val="000000"/>
          <w:sz w:val="24"/>
          <w:szCs w:val="24"/>
          <w:lang w:eastAsia="es-CO"/>
        </w:rPr>
        <w:t>En este contexto, la Sala comparte la orden de amparo emitida en el fallo de primera instancia, pero encuentra que el traslado del interno ADRIÁN FERNEY CLAVIJO PÉREZ, con prescindencia de los procedimientos propios del mismo y las medidas de bioseguridad correspondientes, implicaría un riesgo para la salud y vida de los reclusos del establecimiento carcelario al que se remita al accionante».</w:t>
      </w:r>
    </w:p>
    <w:p w14:paraId="61AF8988" w14:textId="77777777"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p>
    <w:p w14:paraId="739E7CBD" w14:textId="4C18778F" w:rsidR="00EF5BDF" w:rsidRPr="00EF5BDF" w:rsidRDefault="00EF5BDF" w:rsidP="00EF5BDF">
      <w:pPr>
        <w:spacing w:after="0" w:line="240" w:lineRule="auto"/>
        <w:jc w:val="both"/>
        <w:rPr>
          <w:rFonts w:ascii="Bookman Old Style" w:eastAsia="Times New Roman" w:hAnsi="Bookman Old Style" w:cs="Times New Roman"/>
          <w:color w:val="000000"/>
          <w:sz w:val="24"/>
          <w:szCs w:val="24"/>
          <w:lang w:eastAsia="es-CO"/>
        </w:rPr>
      </w:pPr>
      <w:r w:rsidRPr="00EF5BDF">
        <w:rPr>
          <w:rFonts w:ascii="Bookman Old Style" w:eastAsia="Times New Roman" w:hAnsi="Bookman Old Style" w:cs="Times New Roman"/>
          <w:b/>
          <w:bCs/>
          <w:color w:val="000000"/>
          <w:sz w:val="24"/>
          <w:szCs w:val="24"/>
          <w:lang w:eastAsia="es-CO"/>
        </w:rPr>
        <w:t>ACCIÓN DE TUTELA</w:t>
      </w:r>
      <w:r w:rsidRPr="00EF5BDF">
        <w:rPr>
          <w:rFonts w:ascii="Bookman Old Style" w:eastAsia="Times New Roman" w:hAnsi="Bookman Old Style" w:cs="Times New Roman"/>
          <w:color w:val="000000"/>
          <w:sz w:val="24"/>
          <w:szCs w:val="24"/>
          <w:lang w:eastAsia="es-CO"/>
        </w:rPr>
        <w:t xml:space="preserve"> - Legitimación en la causa por activa: competencia de la Dirección General del </w:t>
      </w:r>
      <w:proofErr w:type="spellStart"/>
      <w:r w:rsidRPr="00EF5BDF">
        <w:rPr>
          <w:rFonts w:ascii="Bookman Old Style" w:eastAsia="Times New Roman" w:hAnsi="Bookman Old Style" w:cs="Times New Roman"/>
          <w:color w:val="000000"/>
          <w:sz w:val="24"/>
          <w:szCs w:val="24"/>
          <w:lang w:eastAsia="es-CO"/>
        </w:rPr>
        <w:t>Inpec</w:t>
      </w:r>
      <w:proofErr w:type="spellEnd"/>
      <w:r w:rsidRPr="00EF5BDF">
        <w:rPr>
          <w:rFonts w:ascii="Bookman Old Style" w:eastAsia="Times New Roman" w:hAnsi="Bookman Old Style" w:cs="Times New Roman"/>
          <w:color w:val="000000"/>
          <w:sz w:val="24"/>
          <w:szCs w:val="24"/>
          <w:lang w:eastAsia="es-CO"/>
        </w:rPr>
        <w:t xml:space="preserve"> para dar cumplimiento a la orden de tutela, relacionada con el traslado del accionante, privado de la libertad en la Estación de Policía de Marinilla al establecimiento carcelario de Santa Fe o Ciudad Bolívar de Antioquia</w:t>
      </w:r>
    </w:p>
    <w:p w14:paraId="2224489C" w14:textId="77777777" w:rsidR="00EF5BDF" w:rsidRPr="00EF5BDF" w:rsidRDefault="00EF5BDF" w:rsidP="00EF5BDF">
      <w:pPr>
        <w:spacing w:after="0" w:line="240" w:lineRule="auto"/>
        <w:rPr>
          <w:rFonts w:ascii="Bookman Old Style" w:eastAsia="Times New Roman" w:hAnsi="Bookman Old Style" w:cs="Times New Roman"/>
          <w:color w:val="000000"/>
          <w:sz w:val="24"/>
          <w:szCs w:val="24"/>
          <w:lang w:eastAsia="es-CO"/>
        </w:rPr>
      </w:pPr>
    </w:p>
    <w:p w14:paraId="179BBF5C" w14:textId="1561ED16" w:rsidR="00CE1811" w:rsidRPr="00EF5BDF" w:rsidRDefault="00CE1811" w:rsidP="00EF5BDF">
      <w:pPr>
        <w:spacing w:after="0" w:line="240" w:lineRule="auto"/>
        <w:rPr>
          <w:rFonts w:ascii="Bookman Old Style" w:eastAsia="Times New Roman" w:hAnsi="Bookman Old Style" w:cs="Times New Roman"/>
          <w:color w:val="000000"/>
          <w:sz w:val="24"/>
          <w:szCs w:val="24"/>
          <w:lang w:eastAsia="es-CO"/>
        </w:rPr>
      </w:pPr>
    </w:p>
    <w:sectPr w:rsidR="00CE1811" w:rsidRPr="00EF5BDF" w:rsidSect="00E86A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DF"/>
    <w:rsid w:val="0009540F"/>
    <w:rsid w:val="00CE1811"/>
    <w:rsid w:val="00E86A35"/>
    <w:rsid w:val="00EF5BD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6F840"/>
  <w15:chartTrackingRefBased/>
  <w15:docId w15:val="{64E67CAE-33F6-415A-A395-266D4FCCA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9540F"/>
    <w:rPr>
      <w:color w:val="0563C1" w:themeColor="hyperlink"/>
      <w:u w:val="single"/>
    </w:rPr>
  </w:style>
  <w:style w:type="character" w:styleId="Mencinsinresolver">
    <w:name w:val="Unresolved Mention"/>
    <w:basedOn w:val="Fuentedeprrafopredeter"/>
    <w:uiPriority w:val="99"/>
    <w:semiHidden/>
    <w:unhideWhenUsed/>
    <w:rsid w:val="00095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103039">
      <w:bodyDiv w:val="1"/>
      <w:marLeft w:val="0"/>
      <w:marRight w:val="0"/>
      <w:marTop w:val="0"/>
      <w:marBottom w:val="0"/>
      <w:divBdr>
        <w:top w:val="none" w:sz="0" w:space="0" w:color="auto"/>
        <w:left w:val="none" w:sz="0" w:space="0" w:color="auto"/>
        <w:bottom w:val="none" w:sz="0" w:space="0" w:color="auto"/>
        <w:right w:val="none" w:sz="0" w:space="0" w:color="auto"/>
      </w:divBdr>
      <w:divsChild>
        <w:div w:id="1267690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rtesuprema.gov.co/corte/wp-content/uploads/relatorias/tutelas/B%20MAY2021/STP1419-2021.doc"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2813</Words>
  <Characters>15475</Characters>
  <Application>Microsoft Office Word</Application>
  <DocSecurity>0</DocSecurity>
  <Lines>128</Lines>
  <Paragraphs>36</Paragraphs>
  <ScaleCrop>false</ScaleCrop>
  <Company/>
  <LinksUpToDate>false</LinksUpToDate>
  <CharactersWithSpaces>18252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Alexander López Briceño</dc:creator>
  <cp:keywords/>
  <dc:description/>
  <cp:lastModifiedBy>Jorge Alexander López Briceño</cp:lastModifiedBy>
  <cp:revision>2</cp:revision>
  <dcterms:created xsi:type="dcterms:W3CDTF">2021-05-21T22:10:00Z</dcterms:created>
  <dcterms:modified xsi:type="dcterms:W3CDTF">2021-05-21T22:28:00Z</dcterms:modified>
</cp:coreProperties>
</file>