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F13" w:rsidRPr="00A20F13" w:rsidRDefault="00A20F13" w:rsidP="00A20F13">
      <w:pPr>
        <w:jc w:val="center"/>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noProof/>
          <w:color w:val="000000"/>
          <w:sz w:val="24"/>
          <w:szCs w:val="24"/>
          <w:lang w:eastAsia="es-CO"/>
        </w:rPr>
        <w:drawing>
          <wp:inline distT="0" distB="0" distL="0" distR="0">
            <wp:extent cx="1390650" cy="1314450"/>
            <wp:effectExtent l="0" t="0" r="0" b="0"/>
            <wp:docPr id="1" name="Imagen 1" descr="http://190.217.24.13: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0.217.24.13: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A20F13" w:rsidRPr="00A20F13" w:rsidRDefault="00A20F13" w:rsidP="00A20F13">
      <w:pPr>
        <w:rPr>
          <w:rFonts w:ascii="Bookman Old Style" w:eastAsia="Times New Roman" w:hAnsi="Bookman Old Style" w:cs="Times New Roman"/>
          <w:color w:val="000000"/>
          <w:sz w:val="24"/>
          <w:szCs w:val="24"/>
          <w:lang w:eastAsia="es-CO"/>
        </w:rPr>
      </w:pPr>
    </w:p>
    <w:p w:rsidR="00A20F13" w:rsidRPr="00A20F13" w:rsidRDefault="00A20F13" w:rsidP="00A20F13">
      <w:pPr>
        <w:rPr>
          <w:rFonts w:ascii="Bookman Old Style" w:eastAsia="Times New Roman" w:hAnsi="Bookman Old Style" w:cs="Times New Roman"/>
          <w:sz w:val="24"/>
          <w:szCs w:val="24"/>
          <w:lang w:eastAsia="es-CO"/>
        </w:rPr>
      </w:pPr>
    </w:p>
    <w:p w:rsidR="00A20F13" w:rsidRPr="00A20F13" w:rsidRDefault="00A20F13" w:rsidP="00A20F13">
      <w:pPr>
        <w:jc w:val="center"/>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TUTELA</w:t>
      </w:r>
    </w:p>
    <w:p w:rsidR="00A20F13" w:rsidRPr="00A20F13" w:rsidRDefault="00A20F13" w:rsidP="00A20F13">
      <w:pPr>
        <w:rPr>
          <w:rFonts w:ascii="Bookman Old Style" w:eastAsia="Times New Roman" w:hAnsi="Bookman Old Style" w:cs="Times New Roman"/>
          <w:color w:val="000000"/>
          <w:sz w:val="24"/>
          <w:szCs w:val="24"/>
          <w:lang w:eastAsia="es-CO"/>
        </w:rPr>
      </w:pPr>
    </w:p>
    <w:p w:rsidR="00A20F13" w:rsidRPr="00A20F13" w:rsidRDefault="00A20F13" w:rsidP="00A20F13">
      <w:pPr>
        <w:rPr>
          <w:rFonts w:ascii="Bookman Old Style" w:eastAsia="Times New Roman" w:hAnsi="Bookman Old Style" w:cs="Times New Roman"/>
          <w:sz w:val="24"/>
          <w:szCs w:val="24"/>
          <w:lang w:eastAsia="es-CO"/>
        </w:rPr>
      </w:pPr>
    </w:p>
    <w:p w:rsidR="00A20F13" w:rsidRPr="00A20F13" w:rsidRDefault="00A20F13" w:rsidP="00A20F13">
      <w:pPr>
        <w:jc w:val="center"/>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REPORTE DE CONSULTA</w:t>
      </w:r>
    </w:p>
    <w:p w:rsidR="00A20F13" w:rsidRPr="00A20F13" w:rsidRDefault="00A20F13" w:rsidP="00A20F13">
      <w:pPr>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A20F13" w:rsidRPr="00A20F13" w:rsidTr="00A20F1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20F13" w:rsidRPr="00A20F13" w:rsidRDefault="00A20F13" w:rsidP="00A20F13">
            <w:pPr>
              <w:shd w:val="clear" w:color="auto" w:fill="BBFFAA"/>
              <w:jc w:val="center"/>
              <w:divId w:val="713889756"/>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sz w:val="24"/>
                <w:szCs w:val="24"/>
                <w:lang w:eastAsia="es-CO"/>
              </w:rPr>
              <w:t>RELEVANTE</w:t>
            </w:r>
          </w:p>
          <w:p w:rsidR="00A20F13" w:rsidRPr="00A20F13" w:rsidRDefault="00A20F13" w:rsidP="00A20F13">
            <w:pPr>
              <w:rPr>
                <w:rFonts w:ascii="Bookman Old Style" w:eastAsia="Times New Roman" w:hAnsi="Bookman Old Style" w:cs="Times New Roman"/>
                <w:sz w:val="24"/>
                <w:szCs w:val="24"/>
                <w:lang w:eastAsia="es-CO"/>
              </w:rPr>
            </w:pPr>
          </w:p>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sz w:val="24"/>
                <w:szCs w:val="24"/>
                <w:lang w:eastAsia="es-CO"/>
              </w:rPr>
              <w:t>SALA DE CASACIÓN CIVIL Y AGRARIA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2"/>
            </w:tblGrid>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ID</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824038</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M. PONENTE</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AROLDO WILSON QUIROZ MONSALVO</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NÚMERO DE PROCESO</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T 1100122030002023-01571-01</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NÚMERO DE PROVIDENCIA</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914C55" w:rsidP="00A20F13">
                  <w:pPr>
                    <w:jc w:val="both"/>
                    <w:rPr>
                      <w:rFonts w:ascii="Bookman Old Style" w:eastAsia="Times New Roman" w:hAnsi="Bookman Old Style" w:cs="Times New Roman"/>
                      <w:sz w:val="24"/>
                      <w:szCs w:val="24"/>
                      <w:lang w:eastAsia="es-CO"/>
                    </w:rPr>
                  </w:pPr>
                  <w:hyperlink r:id="rId5" w:history="1">
                    <w:r w:rsidR="00A20F13" w:rsidRPr="00914C55">
                      <w:rPr>
                        <w:rStyle w:val="Hipervnculo"/>
                        <w:rFonts w:ascii="Bookman Old Style" w:eastAsia="Times New Roman" w:hAnsi="Bookman Old Style" w:cs="Times New Roman"/>
                        <w:sz w:val="24"/>
                        <w:szCs w:val="24"/>
                        <w:lang w:eastAsia="es-CO"/>
                      </w:rPr>
                      <w:t>STC8435-2023</w:t>
                    </w:r>
                  </w:hyperlink>
                  <w:bookmarkStart w:id="0" w:name="_GoBack"/>
                  <w:bookmarkEnd w:id="0"/>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PROCEDENCIA</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Sala Civil del Tribunal Superior del Distrito Judicial de Bogotá</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CLASE DE ACTUACIÓN</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ACCIÓN DE TUTELA - SEGUNDA INSTANCIA</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TIPO DE PROVIDENCIA</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SENTENCIA</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FECHA</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23/08/2023</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DECISIÓN</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REVOCA CONCEDE TUTELA</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ACCIONADO</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JUZGADO 22 CIVIL DEL CIRCUITO DE BOGOTÁ</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ACCIONANTE</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ERLINDA SEFAIR DE RIVEROS Y CLAUDIA PATRICIA SEFAIR SAAB</w:t>
                  </w:r>
                </w:p>
              </w:tc>
            </w:tr>
            <w:tr w:rsidR="00A20F13" w:rsidRPr="00A20F13">
              <w:trPr>
                <w:tblCellSpacing w:w="15" w:type="dxa"/>
              </w:trPr>
              <w:tc>
                <w:tcPr>
                  <w:tcW w:w="3750"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FUENTE FORMAL</w:t>
                  </w:r>
                </w:p>
              </w:tc>
              <w:tc>
                <w:tcPr>
                  <w:tcW w:w="75" w:type="dxa"/>
                  <w:hideMark/>
                </w:tcPr>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w:t>
                  </w:r>
                </w:p>
              </w:tc>
              <w:tc>
                <w:tcPr>
                  <w:tcW w:w="0" w:type="auto"/>
                  <w:vAlign w:val="center"/>
                  <w:hideMark/>
                </w:tcPr>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Ley 2213 art. 1, 2, 3, 6, 8 / Código General del Proceso art. 8, 78, 96, 132, 138, 165, 167, 243, 244, 247, 269, 274</w:t>
                  </w:r>
                </w:p>
              </w:tc>
            </w:tr>
          </w:tbl>
          <w:p w:rsidR="00A20F13" w:rsidRPr="00A20F13" w:rsidRDefault="00A20F13" w:rsidP="00A20F13">
            <w:pPr>
              <w:rPr>
                <w:rFonts w:ascii="Bookman Old Style" w:eastAsia="Times New Roman" w:hAnsi="Bookman Old Style" w:cs="Times New Roman"/>
                <w:sz w:val="24"/>
                <w:szCs w:val="24"/>
                <w:lang w:eastAsia="es-CO"/>
              </w:rPr>
            </w:pPr>
          </w:p>
        </w:tc>
      </w:tr>
    </w:tbl>
    <w:p w:rsidR="00A20F13" w:rsidRPr="00A20F13" w:rsidRDefault="00A20F13" w:rsidP="00A20F13">
      <w:pPr>
        <w:jc w:val="both"/>
        <w:rPr>
          <w:rFonts w:ascii="Bookman Old Style" w:eastAsia="Times New Roman" w:hAnsi="Bookman Old Style" w:cs="Times New Roman"/>
          <w:vanish/>
          <w:color w:val="000000"/>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4"/>
      </w:tblGrid>
      <w:tr w:rsidR="00A20F13" w:rsidRPr="00A20F13" w:rsidTr="00A20F1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20F13" w:rsidRPr="00A20F13" w:rsidRDefault="00A20F13" w:rsidP="00A20F13">
            <w:pPr>
              <w:rPr>
                <w:rFonts w:ascii="Bookman Old Style" w:eastAsia="Times New Roman" w:hAnsi="Bookman Old Style" w:cs="Times New Roman"/>
                <w:sz w:val="24"/>
                <w:szCs w:val="24"/>
                <w:lang w:eastAsia="es-CO"/>
              </w:rPr>
            </w:pPr>
          </w:p>
          <w:p w:rsidR="00A20F13" w:rsidRPr="00A20F13" w:rsidRDefault="00A20F13" w:rsidP="00A20F13">
            <w:pPr>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b/>
                <w:bCs/>
                <w:color w:val="7D3B05"/>
                <w:sz w:val="24"/>
                <w:szCs w:val="24"/>
                <w:lang w:eastAsia="es-CO"/>
              </w:rPr>
              <w:t>ASUNTO:</w:t>
            </w:r>
          </w:p>
          <w:p w:rsid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 xml:space="preserve">SUPUESTOS FÁCTICOS: </w:t>
            </w:r>
          </w:p>
          <w:p w:rsidR="00A20F13" w:rsidRDefault="00A20F13" w:rsidP="00A20F13">
            <w:pPr>
              <w:jc w:val="both"/>
              <w:rPr>
                <w:rFonts w:ascii="Bookman Old Style" w:eastAsia="Times New Roman" w:hAnsi="Bookman Old Style" w:cs="Times New Roman"/>
                <w:sz w:val="24"/>
                <w:szCs w:val="24"/>
                <w:lang w:eastAsia="es-CO"/>
              </w:rPr>
            </w:pPr>
          </w:p>
          <w:p w:rsid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 xml:space="preserve">Las accionantes, consideran vulnerados sus derechos fundamentales, en el proceso ejecutivo, con la decisión proferida por el Juzgado 22 Civil del Circuito de Bogotá, mediante la cual, desestimó el recurso de reposición interpuesto contra el auto que les ordenó allegar una constancia de entrega o acuse de recibo para acreditar la notificación del mandamiento de pago al demandado, so pena de declarar el desistimiento tácito. </w:t>
            </w:r>
          </w:p>
          <w:p w:rsidR="00A20F13" w:rsidRDefault="00A20F13" w:rsidP="00A20F13">
            <w:pPr>
              <w:jc w:val="both"/>
              <w:rPr>
                <w:rFonts w:ascii="Bookman Old Style" w:eastAsia="Times New Roman" w:hAnsi="Bookman Old Style" w:cs="Times New Roman"/>
                <w:sz w:val="24"/>
                <w:szCs w:val="24"/>
                <w:lang w:eastAsia="es-CO"/>
              </w:rPr>
            </w:pPr>
          </w:p>
          <w:p w:rsid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 xml:space="preserve">Manifiestan que, la anterior exigencia les impone una carga procesal inexistente en la ley y contraviene de manera abierta el precedente jurisprudencial establecido en la sentencia del 14 de diciembre de 2022 CSJ STC16733-2022. </w:t>
            </w:r>
          </w:p>
          <w:p w:rsidR="00A20F13" w:rsidRDefault="00A20F13" w:rsidP="00A20F13">
            <w:pPr>
              <w:jc w:val="both"/>
              <w:rPr>
                <w:rFonts w:ascii="Bookman Old Style" w:eastAsia="Times New Roman" w:hAnsi="Bookman Old Style" w:cs="Times New Roman"/>
                <w:sz w:val="24"/>
                <w:szCs w:val="24"/>
                <w:lang w:eastAsia="es-CO"/>
              </w:rPr>
            </w:pPr>
          </w:p>
          <w:p w:rsid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lastRenderedPageBreak/>
              <w:t xml:space="preserve">La Sala Civil del Tribunal Superior del Distrito Judicial de Bogotá, negó el amparo constitucional, toda vez que consideró razonable la decisión cuestionada y provista de suficiente sustento normativo, jurisprudencial y fáctico. </w:t>
            </w:r>
          </w:p>
          <w:p w:rsidR="00A20F13" w:rsidRDefault="00A20F13" w:rsidP="00A20F13">
            <w:pPr>
              <w:jc w:val="both"/>
              <w:rPr>
                <w:rFonts w:ascii="Bookman Old Style" w:eastAsia="Times New Roman" w:hAnsi="Bookman Old Style" w:cs="Times New Roman"/>
                <w:sz w:val="24"/>
                <w:szCs w:val="24"/>
                <w:lang w:eastAsia="es-CO"/>
              </w:rPr>
            </w:pPr>
          </w:p>
          <w:p w:rsid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 xml:space="preserve">PROBLEMA JURÍDICO: </w:t>
            </w:r>
          </w:p>
          <w:p w:rsidR="00A20F13" w:rsidRDefault="00A20F13" w:rsidP="00A20F13">
            <w:pPr>
              <w:jc w:val="both"/>
              <w:rPr>
                <w:rFonts w:ascii="Bookman Old Style" w:eastAsia="Times New Roman" w:hAnsi="Bookman Old Style" w:cs="Times New Roman"/>
                <w:sz w:val="24"/>
                <w:szCs w:val="24"/>
                <w:lang w:eastAsia="es-CO"/>
              </w:rPr>
            </w:pPr>
          </w:p>
          <w:p w:rsidR="00A20F13" w:rsidRPr="00A20F13" w:rsidRDefault="00A20F13" w:rsidP="00A20F13">
            <w:pPr>
              <w:jc w:val="both"/>
              <w:rPr>
                <w:rFonts w:ascii="Bookman Old Style" w:eastAsia="Times New Roman" w:hAnsi="Bookman Old Style" w:cs="Times New Roman"/>
                <w:sz w:val="24"/>
                <w:szCs w:val="24"/>
                <w:lang w:eastAsia="es-CO"/>
              </w:rPr>
            </w:pPr>
            <w:r w:rsidRPr="00A20F13">
              <w:rPr>
                <w:rFonts w:ascii="Bookman Old Style" w:eastAsia="Times New Roman" w:hAnsi="Bookman Old Style" w:cs="Times New Roman"/>
                <w:sz w:val="24"/>
                <w:szCs w:val="24"/>
                <w:lang w:eastAsia="es-CO"/>
              </w:rPr>
              <w:t>¿El Juzgado 22 Civil del Circuito de Bogotá, vulnera el derecho al debido proceso de las accionantes al desconocer el precedente jurisprudencial fijado por la Sala de Casación Civil, relativo a la inexigibilidad para el demandante de demostrar la recepción del correo, en la bandeja de entrada del destinatario?</w:t>
            </w:r>
          </w:p>
          <w:p w:rsidR="00A20F13" w:rsidRPr="00A20F13" w:rsidRDefault="00A20F13" w:rsidP="00A20F13">
            <w:pPr>
              <w:rPr>
                <w:rFonts w:ascii="Bookman Old Style" w:eastAsia="Times New Roman" w:hAnsi="Bookman Old Style" w:cs="Times New Roman"/>
                <w:sz w:val="24"/>
                <w:szCs w:val="24"/>
                <w:lang w:eastAsia="es-CO"/>
              </w:rPr>
            </w:pPr>
          </w:p>
        </w:tc>
      </w:tr>
    </w:tbl>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t>TEMA: </w:t>
      </w:r>
      <w:r w:rsidRPr="00A20F13">
        <w:rPr>
          <w:rFonts w:ascii="Bookman Old Style" w:eastAsia="Times New Roman" w:hAnsi="Bookman Old Style" w:cs="Times New Roman"/>
          <w:b/>
          <w:bCs/>
          <w:color w:val="000000"/>
          <w:sz w:val="24"/>
          <w:szCs w:val="24"/>
          <w:lang w:eastAsia="es-CO"/>
        </w:rPr>
        <w:t>ACCIÓN DE TUTELA CONTRA PROVIDENCIA JUDICIAL</w:t>
      </w:r>
      <w:r w:rsidRPr="00A20F13">
        <w:rPr>
          <w:rFonts w:ascii="Bookman Old Style" w:eastAsia="Times New Roman" w:hAnsi="Bookman Old Style" w:cs="Times New Roman"/>
          <w:color w:val="000000"/>
          <w:sz w:val="24"/>
          <w:szCs w:val="24"/>
          <w:lang w:eastAsia="es-CO"/>
        </w:rPr>
        <w:t> - Procedencia excepcional de la acción ante vía de hecho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t>Tesis:</w:t>
      </w: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«Al tenor del artículo 86 de la Carta Política, la acción de tutela es un mecanismo instituido para la protección de los derechos fundamentales, cuando sean conculcados o seriamente amenazados por la acción o la omisión ilegítima de una autoridad o, en determinadas hipótesis, de los particulares, siempre y cuando el afectado no disponga de otro medio de defensa judicial.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Por lineamiento jurisprudencial, en tratándose de actuaciones y providencias judiciales, el resguardo procede de manera excepcional y limitado a la presencia de una irrefutable vía de hecho, cuando "el proceder ilegítimo no es dable removerlo a través de los medios ordinarios previstos en la ley" (CSJ STC, 11 may. 2001, rad. 2001-00183-01); y por supuesto, se cumpla el requisito de la inmediatez.</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2. En este orden de ideas, memórese que en los precisos casos en los cuales el funcionario respectivo incurra en un proceder claramente opuesto a la ley, por arbitrario o antojadizo, puede intervenir el juez de tutela con el fin de restablecer el orden jurídico si el afectado no cuenta con otro medio de protección judicial.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Al respecto, la Corte ha manifestado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el Juez natural está dotado de discreta autonomía para interpretar las leyes, de modo que el amparo sólo se abre paso si ‘se detecta un error grosero o un yerro superlativo o mayúsculo que, abrupta y paladinamente cercene el ordenamiento positivo; cuando tenga lugar un ostensible e inadmisible resquebrajamiento de la función judicial; en suma, cuando se presenta una vía de hecho, así denominada por contraponerse en forma manifiesta al sistema jurídico, es posible reclamar el amparo del derecho fundamental constitucional vulnerado o amenazado(...)," (CSJ STC, 11 may. 2001, rad. 0183, reiterada STC4269-2015 16 abr. 2015).</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Así pues, se ha reconocido que cuando el Juez se aparta de la jurisprudencia, sin aportar argumentos valederos o cuando se presenta un defecto sustantivo o fáctico en el proveído, entre otros, se estructura la denominada "vía de hecho"».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lastRenderedPageBreak/>
        <w:t>DERECHO AL DEBIDO PROCESO</w:t>
      </w:r>
      <w:r w:rsidRPr="00A20F13">
        <w:rPr>
          <w:rFonts w:ascii="Bookman Old Style" w:eastAsia="Times New Roman" w:hAnsi="Bookman Old Style" w:cs="Times New Roman"/>
          <w:color w:val="000000"/>
          <w:sz w:val="24"/>
          <w:szCs w:val="24"/>
          <w:lang w:eastAsia="es-CO"/>
        </w:rPr>
        <w:t> - Proceso ejecutivo: vulneración del derecho por desconocimiento del precedente jurisprudencial de la Sala de Casación Civil, relacionado con la inexigibilidad al demandante de demostrar la recepción del correo electrónico, en la bandeja de entrada del destinatario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inexigibilidad al demandante de demostrar la recepción del correo, en la bandeja de entrada del destinatario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la exigencia de demostrar la recepción del correo, en la bandeja de entrada del destinatario, desconoce el principio de buena fe que rige las actuaciones judiciales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aplicación del Decreto 806 de 2020, adoptado como legislación permanente por la Ley 2213 de 2022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facultad de las partes y, en principio, del demandante de elegir los canales digitales a utilizar, exceptuando las direcciones electrónicas consignadas en el registro mercantil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canales de comunicación de los despachos judiciales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dinámica para el envío y recepción de un correo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 Iniciador en la transmisión del mensaje de datos: noción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forma de demostrar la recepción del correo electrónico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 Servidor de correo electrónico y acuse de recibo: noción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requisitos legales de eficacia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Requisitos legales - Formas de demostrarlos: libertad probatoria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Requisitos legales: valoración de algunos de los medios de prueba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lastRenderedPageBreak/>
        <w:t>Tesis:</w:t>
      </w: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«Descendiendo al caso sub examine, se advierte que la autoridad enjuiciada cometió un desafuero que amerita la injerencia de esta jurisdicción, por cuanto al exigirle a la parte ejecutante allegar "constancia de entrega o acuse de recibo con miras a tener en cuenta la documental con la que pretende acreditar la notificación de su contraparte", desconoció la jurisprudencia que, sobre ese particular, ha dictado esta Sala Especializada.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3.1. Y es que, esta Corporación ha sido enfática en precisar que no es dable requerir a la parte actora que demuestre la recepción del correo en la bandeja del destinatario, para tener por surtido el acto de enteramiento, pues ello contraría el principio de buena fe que rige las actuaciones judiciales y, además, obliga a las partes a acudir a servicios de mensajería certificada, exigencia que no se deduce de las normas que regulan la notificación electrónica, temática sobre la cual se destacó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 Notificación personal mediante el uso de las tecnologías de la información y las comunicaciones.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Tratándose de la notificación personal surtida por medios digitales está claro que, conforme a la Ley 2213 de 2022, obedece a los propósitos de implementar las TIC en todas las actuaciones judiciales y agilizar los respectivos trámites (arts. 1 y 2 ibidem), hasta el punto de constituirse como un “deber” de las partes y apoderados, quienes “deberán suministrar (…) los canales digitales escogidos para los fines del proceso”, en los cuales “se surtirán todas las notificaciones” (arts. 3 y 6 ibidem), de donde emerge que -por expresa disposición del legislador- la elección de los canales digitales a utilizar para los fines del proceso compete a las partes y, en principio, al demandante -salvo los casos de direcciones electrónicas registradas en el registro mercantil-.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Situación distinta dispuso la norma en lo que compete al canal digital de los despachos judiciales, al señalar como tal “las direcciones de correo electrónico que el Consejo Superior de la Judicatura disponga” -art. 6 ibidem-, sitio que, valga precisar, es el designado por el legislador para comunicarse válida y eficazmente con los jueces, además de la sede física del despacho.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3.1.1. Correo electrónico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No hay discusión en que una de las herramientas mayormente utilizadas por las partes y apoderados para los fines de la notificación personal electrónica se surte a través de correos electrónicos. Por esa razón, en el curso de este sumario se averiguaron algunos aspectos técnicos de este medio de comunicación con el fin de clarificar la terminología utilizada en esta práctica común.</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Respecto de la forma en la que se surte la dinámica del envío y recepción de un correo electrónico, enseña el ingeniero en informática Ariel Oscar Podestá -entre otros-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“Al crear un correo, debe especificarse un asunto y destinatario. Esto, junto con otros datos de gestión, es lo que conforma el “encabezado” (header, en el gráfico). Luego, el contenido en sí es lo que constituye el “cuerpo” del mensaje (body). Cuando el remitente finaliza la redacción de su correo y </w:t>
      </w:r>
      <w:r w:rsidRPr="00A20F13">
        <w:rPr>
          <w:rFonts w:ascii="Bookman Old Style" w:eastAsia="Times New Roman" w:hAnsi="Bookman Old Style" w:cs="Times New Roman"/>
          <w:color w:val="000000"/>
          <w:sz w:val="24"/>
          <w:szCs w:val="24"/>
          <w:lang w:eastAsia="es-CO"/>
        </w:rPr>
        <w:lastRenderedPageBreak/>
        <w:t>confirma el envío, este se transfiere desde su dispositivo móvil a su servidor de correo saliente, en este caso Gmail.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Dicho servidor no lo envía tal como está, sino que le agrega ciertos datos de gestión complementarios, que pueden ser una firma digital del mismo servidor, fecha de recepción, envío e identificador único del mensaje, y cualquier otro dato que sea pertinente. Con lo cual, ahora, el archivo tiene toda su información original sumada a la que se le añadió en este último paso. De allí que, (…) el correo que va desde Gmail hasta Yahoo cuenta con otro encabezado, “header Gmail”. Entonces, resulta que la información original no se alteró. De hecho, esto nunca ocurre. Desde este punto de vista, todo el sistema consiste en apilar datos de encabezado, sin alterar la información recibida (…).</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En el siguiente paso, el servidor de Gmail envía el correo al servidor de Yahoo, que lo recibe y análogamente también le agrega información en su encabezado. Los datos añadidos en este caso podrán ser fecha de recepción, verificación de firma digital del servidor remitente, tamaño del archivo recibido, etcétera. Todo lo que también el servidor de Yahoo considere necesario. Así queda conformado el archivo final y es lo [que] recibe el destinatario (sic). Dicho archivo contiene información que responde a las preguntas sobre quién lo envió, en qué momento y qué ruta tomó. En las circunstancias correctas, su autenticidad puede ser innegable y así conformar una clara fuente de evidencia. (…).”</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otra parte, con la finalidad de hallar el sentido lógico, técnico y práctico de la normativa que regula las notificaciones personales electrónicas, se ofició a Microsoft Corporation, quién, al indagarle sobre lo que podía entenderse por “iniciador en materia de transmisión de mensajes de datos” conceptuó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El iniciador a nivel de envió de mensaje se puede entender como la acción del usuario al hacer clic en el botón de enviar un mensaje, el cual puede variar dependiendo del proveedor de correo electrónico. Es importante señalar que, a nivel de correo electrónico, esta acción también puede ser configurada por una máquina, la cual es programada para dar clic en el botón de envío de un mensaje predeterminado en un momento exacto»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Al preguntarle sobre lo que podía entenderse por “acuse de recibo por parte del iniciador”, señaló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“El acuse de recibido depende de varios factores. Algunos sistemas de email permiten configurar confirmaciones de recibido de email. Sin embargo, este es un mensaje de llegada del email al servidor de correo, que no necesariamente indica que el receptor haya recibido el email ni que lo haya leído”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 la pregunta ¿Cuándo puede entenderse que el iniciador recepciona acuse de recibo?, respondió:</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“Depende del método que se utilice para confirmar la recepción del correo. Existen métodos para determinar la recepción en el servidor que inicia el envío de correo electrónico al buzón de correo por medio de la opción de seguimiento que debe ser activada en la opción “seguimiento” que trae el correo electrónico en el caso de Microsoft 365. Adicionalmente, se puede activar la opción de notificación de lectura, la cual, una vez abierto el correo, </w:t>
      </w:r>
      <w:r w:rsidRPr="00A20F13">
        <w:rPr>
          <w:rFonts w:ascii="Bookman Old Style" w:eastAsia="Times New Roman" w:hAnsi="Bookman Old Style" w:cs="Times New Roman"/>
          <w:color w:val="000000"/>
          <w:sz w:val="24"/>
          <w:szCs w:val="24"/>
          <w:lang w:eastAsia="es-CO"/>
        </w:rPr>
        <w:lastRenderedPageBreak/>
        <w:t>solicitará al destinario a través de una ventana emergente enviar al remitente la confirmación de lectura. En tal caso, el destinatario podrá para dar clic a esa ventana emergente para informar al iniciador que ha leído el mensaje y, si no lo hace, el iniciador no recibirá ninguna confirmación de lectura”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Finalmente, frente al interrogante relativo a la forma en que podía demostrarse que una persona recibió un mensaje de datos a través de un correo electrónico, predicó:</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“Para establecer que una persona recibió un email, podría utilizarse algún mecanismo de los mencionados anteriormente, en especial, activar la herramienta de “Confirmación de Lectura”. En este caso, si el destinatario envía la confirmación al remitente, haciendo clic en la ventana emergente desplegada para tal efecto, se podrá establecer que el mensaje ha sido recibido y abierto por parte del destinatario.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Sin embargo, en el caso de la herramienta de confirmación de entrega, la notificación que recibe el remitente del mensaje no comprueba de manera fehaciente que el destinatario recibió un correo en su bandeja de entrada.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Por tal razón, reiteramos la importancia de acudir a soluciones de terceros que cuentan con las herramientas técnicas para certificar la recepción, apertura y lectura de un mensaje de datos enviado a través de correo electrónico. En los entornos corporativos y en soluciones administradas, es posible establecer si un email ha sido entregado o no en el buzón; es importante mencionar que cada sistema de correo electrónico funciona de manera diferente y en función a las capacidades técnicas del mismo".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lo expuesto es dable entender por iniciador, la acción del usuario que da click a la opción de envío del correo. Por servidor de correo, la entidad proveedora y administradora del mismo, esto es, Hotmail, Outlook, Gmail, Yahoo -entre otros-. Por acuse de recibo del correo, la información relativa a que el correo fue recibido, bien por el servidor de correo del remitente, o por el servidor de correo del destinatario -que puede ser distinto al del remitente, por ejemplo, un usuario de Hotmail que remite un correo a un usuario de Gmail-, o por el mismo destinatario de la misiva -voluntariamente-.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También es viable colegir que los servidores de correo electrónico ofrecen algunas herramientas que permiten verificar que el correo llegó al servidor del remitente, lo cual no necesariamente significa que llegara al servidor del destinatario, o a este último.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igual forma, es posible deducir que algunos servidores de correo electrónico ofrecen la opción de que el destinatario del correo comunique al remitente sobre la recepción del mensaje; no obstante, tal confirmación queda a voluntad de aquel.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Finalmente, puede concluirse del informe técnico rendido que los servidores de correo electrónico no ofrecen herramientas que puedan garantizar “de manera fehaciente que el destinatario recibió un correo en su bandeja de entrada”, razón por la cual es posible “acudir a soluciones de terceros que cuentan con las herramientas técnicas para certificar la recepción, apertura y lectura de un mensaje de datos enviado a través de correo electrónico”.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lastRenderedPageBreak/>
        <w:t>Fíjese, entonces, que exigir de manera categórica e inquebrantable que el demandante demuestre la recepción del correo en la bandeja del destinatario, no sólo comporta una compleja labor, sino una exigencia que, en últimas, forzaría a todos los interesados en las notificaciones a acudir a servicios especializados de mensajería certificada, lo cual no constituye la intención del legislador, quién quiso ofrecer un mecanismo célere, económico y efectivo de enteramiento que se ajustara a las realidades que vive hoy la sociedad.</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3.2. Exigencias legales para la notificación personal con uso de las TIC.</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Al margen de la discrecionalidad otorgada para que los litigantes designen sus canales digitales, la ley previó algunas medidas tendientes a garantizar la efectividad de las notificaciones personales electrónicas -publicidad de las providencias-: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 En primera medida -y con implícitas consecuencias penales- exigió al interesado en la notificación afirmar “bajo la gravedad de juramento (…) que la dirección electrónica o sitio suministrado corresponde al utilizado por la persona a notificar”; además, para evitar posibles discusiones, consagró que ese juramento “se entenderá prestado con la petición» respectiva.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ii). En segundo lugar, requirió la declaración de la parte tendiente a explicar la manera en la que obtuvo o conoció del canal digital designado.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iii). Como si las dos anteriores no resultaran suficientes, impuso al interesado el deber de probar las circunstancias descritas, “particularmente”, con las “comunicaciones remitidas a la persona por notificar”.</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lo expuesto, no queda duda que las partes tienen la libertad de escoger los canales digitales por los cuales se comunicarán las decisiones adoptadas en la disputa, sea cual sea el medio, siempre que se acrediten los requisitos legales en comento, esto es, la explicación de la forma en la que se obtuvo -bajo juramento, por disposición legal- y la prueba de esas manifestaciones a través de las “comunicaciones remitidas a la persona por notificar».</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Tampoco hay vacilación al indicar que esa elección, al menos en la etapa inicial del proceso, compete al demandante quien debe demostrar la idoneidad del medio escogido, sin perjuicio de que se modifique en el curso del proceso, conforme lo permiten los numerales 5° de los artículos 78 y 96 del Código General del Proceso y el canon 3° de la Ley 2213 de 2022.</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3.3. Demostración de exigencias legales en cita.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Vistos los requisitos que la ley exige al interesado en la notificación personal mediante el uso de las tecnologías de la información y las comunicaciones, vale la pena precisar la forma en la que pueden satisfacerse esos requerimientos.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3.3.1. Libertad Probatoria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Para la satisfacción de esa carga demostrativa, el legislador no dispuso solemnidad alguna, razón por la que se cumple mediante cualquiera de los medios de prueba enlistados en el canon 165 del Código General del proceso, incluidos, por supuesto, “cualesquiera otros medios que sean útiles para la </w:t>
      </w:r>
      <w:r w:rsidRPr="00A20F13">
        <w:rPr>
          <w:rFonts w:ascii="Bookman Old Style" w:eastAsia="Times New Roman" w:hAnsi="Bookman Old Style" w:cs="Times New Roman"/>
          <w:color w:val="000000"/>
          <w:sz w:val="24"/>
          <w:szCs w:val="24"/>
          <w:lang w:eastAsia="es-CO"/>
        </w:rPr>
        <w:lastRenderedPageBreak/>
        <w:t>formación del convencimiento del juez». Sobre el particular, esta Sala ha predicado de forma unánime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la Corte concluye que el enteramiento por medios electrónicos puede probarse por cualquier medio de convicción pertinente, conducente y útil, incluyendo no solo la presunción que se deriva del acuse de recibo (y que puede ser desvirtuada), sino también su envío, sentido en el que se precisa el alcance de las consideraciones plasmadas en CSJ STC13993-2019, 11 oct. 2019, rad. n.º 2019-00115 y STC690-2020, 3 feb. 2020, rad. n.º 2019- 02319. (Sentencia de 3 de junio de 2020, radicado n° 11001-02-03-000-2020-01025-00)</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Destáquese que el hecho de que el demandante demuestre haber sostenido “comunicaciones” con el demandado -previo al litigio-, permite percibir cierto grado de veracidad en su afirmación relativa a que el canal designado es el utilizado por la contraparte, así como la idoneidad del medio anunciado, de allí que, si la vía escogida por el libelista resultó idónea para mantener comunicaciones previas al diferendo, no se entiende por qué no sería posible usar ese mismo conducto para los fines del proceso judicial.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3.3.2. Algunos medios de prueba para acreditar las exigencias expuestas.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Ciertamente, al tener claro que existe libertad probatoria para demostrar los requerimientos legales en comento, surgen algunas cuestiones en torno a los medios de convicción utilizables.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Si el interesado en la notificación decide probar el cumplimiento de las exigencias legales mediante mensajes de datos, es indudable que los mismos deberán ser aportados “en el mismo formato en que fueron generados, enviados, o recibidos, o en algún otro formato que lo reproduzca con exactitud” de conformidad con el artículo 247 del Código General del Proceso.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“Verbi gracia”, mediante la aportación de un dispositivo externo que permita la respectiva visualización -usb, cd, disco duro, etc.-; o mediante la entrega del equipo en el que fue generada o recibida la misiva, por ejemplo, suministrándolo en audiencia para que el juez inspeccione y verifique lo pertinente. También es posible que el contenido del mensaje de datos se dé a conocer al juez en un medio distinto al formato de origen; así lo permite el inciso 2° del canon en cita, caso en el cual se valorará “de conformidad con las reglas generales de los documentos». Tal evento puede ocurrir cuando se imprime la misiva y se aporta en físico al expediente.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Ahora, dado que en la actualidad se permite la presentación digital de demandas, anexos y memoriales, la aportación de esos mensajes puede realizarse mediante la fotografía de los mismos a través de la herramienta de captura de pantalla o screenshots»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Pruebas - Documentos - Documentos representativos: valor probatorio de las fotografías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Pruebas - Documentos: clasificación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Pruebas - Documentos - Documentos representativos: presunción de autenticidad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lastRenderedPageBreak/>
        <w:t>DERECHO PROCESAL</w:t>
      </w:r>
      <w:r w:rsidRPr="00A20F13">
        <w:rPr>
          <w:rFonts w:ascii="Bookman Old Style" w:eastAsia="Times New Roman" w:hAnsi="Bookman Old Style" w:cs="Times New Roman"/>
          <w:color w:val="000000"/>
          <w:sz w:val="24"/>
          <w:szCs w:val="24"/>
          <w:lang w:eastAsia="es-CO"/>
        </w:rPr>
        <w:t> - Pruebas - Documentos - Mensaje de datos: valoración de los datos contenidos en una conversación de WhatsApp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t>Tesis:</w:t>
      </w: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«Respecto de las fotografías como prueba documental, la homóloga constitucional ha predicado que se trata de "un objeto que muestra un hecho distinto a él mismo, el cual emerge del documento sin que tenga que hacerse un ejercicio de interpretación exhaustiva de su contenido". En tal sentido, ha señalado que debe constatarse su autenticidad, por lo que es necesario tener "certeza de la fecha en la que se capturaron las imágenes y, para ello, corresponde al juez efectuar un cotejo de las fotografías con testimonios, documentos u otros medios probatorios". Sobre el particular, concluyó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el valor probatorio de las fotografías no depende únicamente de su autenticidad formal sino de la posibilidad de establecer si la imagen representa los hechos que se le atribuyen, y no otros diferentes en razón del tiempo, del lugar o del cambio de posición de los elementos dentro de la escena capturada. Para ello, el juez debe valerse de otros medios probatorios, apreciando razonablemente el conjunto"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Esta Sala tiene dicho que los documentos se dividen en representativos y declarativos. Estos, que se refieren a los que consignan manifestaciones dispositivas o testimoniales, mientras que aquellos contienen la representación de un hecho, por ejemplo, “fotografías, pinturas, dibujos, etc” (SC17162-2015).</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Referente a la valoración de las fotografías, se ha predicado que “es necesario que el juez tenga certeza sobre su origen” de conformidad con las reglas relativas a la autenticidad de documentos, esto es, el actual artículo 244 del Código General del Proceso (CSJ SC de 18 de marzo de 2002, Rad. 6649, reiterada en CSJ SC de 7 de marzo de 2012, Rad. 2007-00461-01 y SC17162-2015).</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En esa línea se ha concluido que, si bien es cierto que “los documentos representativos, como las fotografías y videos, requieren de autenticidad para ser valorados por el juez”, también lo es que esa autenticación se presume por ley -artículo 244 del Código General del Proceso- y puede ser desvirtuada por la parte contra quien se aduce mediante el desconocimiento o la tacha de falsedad consagradas en el estatuto adjetivo -artículos 269 a 274. Lo anterior, so pena de que opere el reconocimiento implícito de los mismos (SC17162-2015).</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Datos contenidos en una conversación de WhatsApp -texto, fotografías, videos, emojis, gifs, stickers- comportan mensajes de datos que pueden ser aportados en su formato original allegando el dispositivo en el que se produjeron al juzgador para que se efectúe sobre él la inspección correspondiente, o a través del documento electrónico que se origina mediante la opción de “exportar chat” que contiene esa aplicación, o simplemente, con la reproducción de esa conversación en una impresión en papel o en una fotografía o captura de pantalla sobre la misma»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xml:space="preserve"> - Notificaciones - Notificación personal - Notificación electrónica: oportunidad en que se surte la notificación y cómputo del término que se deriva de la providencia notificada, previsto en el inciso 3.° </w:t>
      </w:r>
      <w:r w:rsidRPr="00A20F13">
        <w:rPr>
          <w:rFonts w:ascii="Bookman Old Style" w:eastAsia="Times New Roman" w:hAnsi="Bookman Old Style" w:cs="Times New Roman"/>
          <w:color w:val="000000"/>
          <w:sz w:val="24"/>
          <w:szCs w:val="24"/>
          <w:lang w:eastAsia="es-CO"/>
        </w:rPr>
        <w:lastRenderedPageBreak/>
        <w:t>del art. 8.° de la Ley 2213 de 2022 (Unificación del criterio jurisprudencial de la Sala de Casación Civil)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finalidad de la regulación efectuada en el Decreto 806 de 2020 y en la Ley 2213 de 2022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medidas para garantizar la efectividad de la notificación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facultad de las partes de utilizar sistemas para confirmar la recepción de los correos electrónicos o de los mensajes de datos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facultad del demandado de demostrar la imposibilidad de acceder oportunamente a la comunicación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oportunidad para debatir la efectividad de la notificación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CONSTITUCIONAL</w:t>
      </w:r>
      <w:r w:rsidRPr="00A20F13">
        <w:rPr>
          <w:rFonts w:ascii="Bookman Old Style" w:eastAsia="Times New Roman" w:hAnsi="Bookman Old Style" w:cs="Times New Roman"/>
          <w:color w:val="000000"/>
          <w:sz w:val="24"/>
          <w:szCs w:val="24"/>
          <w:lang w:eastAsia="es-CO"/>
        </w:rPr>
        <w:t> - Estructura del Estado - Rama Judicial - Función jurisdiccional - Tecnología al servicio de la justicia - Uso de las tecnologías de la información y de las comunicaciones: alcance del art. 8.° de la Ley 2213 de 2022 (c. j.)</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AL DEBIDO PROCESO</w:t>
      </w:r>
      <w:r w:rsidRPr="00A20F13">
        <w:rPr>
          <w:rFonts w:ascii="Bookman Old Style" w:eastAsia="Times New Roman" w:hAnsi="Bookman Old Style" w:cs="Times New Roman"/>
          <w:color w:val="000000"/>
          <w:sz w:val="24"/>
          <w:szCs w:val="24"/>
          <w:lang w:eastAsia="es-CO"/>
        </w:rPr>
        <w:t> - Proceso ejecutivo: vulneración del derecho por desconocimiento del precedente jurisprudencial de la Sala de Casación Civil, sobre las medidas para garantizar la efectividad de la notificación electrónica, como quiera que el Juzgado 22 Civil del Circuito de Bogotá le exigió a la ejecutante una constancia de entrega o acuse de recibo para acreditar la notificación del mandamiento de pago al demandado, sin tomar en cuenta que su envío fue demostrado conforme al art. 8.° de la Ley 2213 de 2022</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000000"/>
          <w:sz w:val="24"/>
          <w:szCs w:val="24"/>
          <w:lang w:eastAsia="es-CO"/>
        </w:rPr>
        <w:t>DERECHO PROCESAL</w:t>
      </w:r>
      <w:r w:rsidRPr="00A20F13">
        <w:rPr>
          <w:rFonts w:ascii="Bookman Old Style" w:eastAsia="Times New Roman" w:hAnsi="Bookman Old Style" w:cs="Times New Roman"/>
          <w:color w:val="000000"/>
          <w:sz w:val="24"/>
          <w:szCs w:val="24"/>
          <w:lang w:eastAsia="es-CO"/>
        </w:rPr>
        <w:t> - Notificaciones - Notificación personal - Notificación electrónica - Canales digitales de notificación - Correo electrónico: la inexigibilidad al demandante de demostrar la recepción del correo, en la bandeja de entrada del destinatario, es un criterio orientador relevante para los funcionarios que conforman la jurisdicción ordinaria, adoptado por la Sala de Casación Civil, como máxima autoridad de esa jurisdicción, en su esp</w:t>
      </w:r>
      <w:r w:rsidR="00563ED3">
        <w:rPr>
          <w:rFonts w:ascii="Bookman Old Style" w:eastAsia="Times New Roman" w:hAnsi="Bookman Old Style" w:cs="Times New Roman"/>
          <w:color w:val="000000"/>
          <w:sz w:val="24"/>
          <w:szCs w:val="24"/>
          <w:lang w:eastAsia="es-CO"/>
        </w:rPr>
        <w:t>e</w:t>
      </w:r>
      <w:r w:rsidRPr="00A20F13">
        <w:rPr>
          <w:rFonts w:ascii="Bookman Old Style" w:eastAsia="Times New Roman" w:hAnsi="Bookman Old Style" w:cs="Times New Roman"/>
          <w:color w:val="000000"/>
          <w:sz w:val="24"/>
          <w:szCs w:val="24"/>
          <w:lang w:eastAsia="es-CO"/>
        </w:rPr>
        <w:t>cialidad civil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t>Tesis:</w:t>
      </w: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sobre la forma de acreditar el acuse de recibo -que no es otra cosa que la constatación de que la misiva llegó a su destino- amerita reiterar que el legislador no impuso tarifa demostrativa alguna, de suerte que, como se dijo, existe libertad probatoria, bien sea en el trámite de nulidad o por fuera de él.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En ese sentido, tal circunstancia puede verificarse -entre otros medios de prueba- a través i). del acuse de recibo voluntario y expreso del demandado, ii). del acuse de recibo que puede generar automáticamente el canal digital escogido mediante sus “sistemas de confirmación del recibo”, como puede ocurrir con las herramientas de configuración ofrecidas por algunos correos electrónicos, o con la opción de "exportar chat" que ofrece WhatsApp, o </w:t>
      </w:r>
      <w:r w:rsidRPr="00A20F13">
        <w:rPr>
          <w:rFonts w:ascii="Bookman Old Style" w:eastAsia="Times New Roman" w:hAnsi="Bookman Old Style" w:cs="Times New Roman"/>
          <w:color w:val="000000"/>
          <w:sz w:val="24"/>
          <w:szCs w:val="24"/>
          <w:lang w:eastAsia="es-CO"/>
        </w:rPr>
        <w:lastRenderedPageBreak/>
        <w:t>inclusive, con la respectiva captura de pantalla que reproduzca los dos "tik" relativos al envío y recepción del mensaje, iii). de la certificación emitida por empresas de servicio postal autorizadas y, iv). de los documentos aportados por el demandante con el fin de acreditar el cumplimiento de las exigencias relativas a la idoneidad del canal digital elegido.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Sobre este último aspecto vale la pena precisar que, del cumplimiento de esas cargas, también es posible presumir la recepción de la misiva.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Tales exigencias se pueden demostrar, como se dijo, mediante cualquier medio de prueba, entre ellos, y a modo de ejemplo, mediante “la simple impresión en papel de un mensaje de datos [el cual] será valorado de conformidad con las reglas generales de los documentos” , elementos conocidos en la actualidad bajo el rótulo de screenshots -capturas de pantalla - pantallazos - fotografías captadas mediante dispositivos electrónicos, o incluso, mediante audios o grabaciones que puedan resultar lícitos, conducentes y pertinentes en relación con las circunstancias que se pretenden acreditar, esto es, la idoneidad, pertinencia y eficacia del canal digital elegido.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No se trata pues de una admisión acrítica de esos elementos, pero tampoco se puede dejar de lado que ese tipo de medios son percibidos por la legislación procesal como documentos por tener “carácter representativo o declarativo» y, en ese sentido, sin duda, están sujetos a las reglas generales de aportación, contradicción y valoración propias de ese medio de prueba.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Es que, a decir verdad, una captura de pantalla aportada en formato digital o físico -impresión en papel- al proceso judicial, no es otra cosa que una fotografía tomada a un mensaje de datos, generalmente, por quien la anexa al expediente con la finalidad de que sea valorada como medio de convicción. En tal sentido, debe ser apreciada como cualquier otro documento conforme a los artículos 243 y 244 del Código General del Proceso.</w:t>
      </w: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la Sala encuentra en esta ocasión la necesidad de unificar su posición en cuanto al momento en el que debe entenderse surtida la notificación personal por medios digitales y la época en la que debe empezar a correr el término que de la providencia notificada derive.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3.5.1. Para ello, es necesario resaltar que la intención del legislador con la promulgación del Decreto 806 de 2020 y la Ley 2213 de 2022, al regular el trámite de la notificación personal a través de medios electrónicos, no fue otra que la de ofrecer a las partes y apoderados un trámite alterno de enteramiento acorde con los avances tecnológicos de la sociedad. Un procedimiento quizás menos oneroso en tiempo y dinero, pero igual de efectivo al dispuesto en el Código General del Proceso en el que las partes deben acudir necesariamente a empresas de servicio postal autorizadas a remitir sus citatorios y avisos.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En línea con ese propósito, consagró una serie de medidas tendientes a garantizar la efectividad de una notificación más célere y económica, pero con plenas garantías de defensa y contradicción para el demandado.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i). Como ya se vio, la primera de ellas fue la de exigir al libelista que en su demanda cumpliera las tres cargas descritas en precedencia, esto es, el juramento relativo a que el canal escogido es el utilizado por el demandado, </w:t>
      </w:r>
      <w:r w:rsidRPr="00A20F13">
        <w:rPr>
          <w:rFonts w:ascii="Bookman Old Style" w:eastAsia="Times New Roman" w:hAnsi="Bookman Old Style" w:cs="Times New Roman"/>
          <w:color w:val="000000"/>
          <w:sz w:val="24"/>
          <w:szCs w:val="24"/>
          <w:lang w:eastAsia="es-CO"/>
        </w:rPr>
        <w:lastRenderedPageBreak/>
        <w:t>la explicación de la forma en la que lo obtuvo y la prueba de esa circunstancia.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ii). La segunda, consistió en otorgar al juez la facultad de verificar la “información de las direcciones electrónicas o sitios de la parte por notificar que estén en las (…) entidades públicas o privadas, o utilizar aquellas que estén informadas en páginas web o en redes sociales” (Parágrafo 2° del art. 8 ibidem). Precepto sobre el cual se predicó en juicio de constitucionalidad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la medida no tiene objeto distinto al de dotar a las autoridades de herramientas acordes con los avances tecnológicos, que faciliten la obtención de la información, y lleven al interesado a conocer las actuaciones en su contra. De manera que, más que presentarse como la vía principal para obtener la información, se trata de una herramienta adicional para que el juez, como director del proceso, pueda dar celeridad al trámite (…).</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La Sala considera que la medida aquí analizada es efectivamente conducente para lograr notificar a las partes y agilizar y facilitar el trámite de los procesos judiciales” (Subrayado y resaltado propio)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iii). La tercera, relacionada con el deber de acreditar el "envío" de la providencia a notificar como mensaje de datos al canal elegido por el demandante. En últimas, es de esa remisión que se deriva la presunción legal contenida en el canon en cita, esto es, que "se entenderá realizada" la notificación:</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"La notificación personal se entenderá realizada una vez transcurridos dos días hábiles siguientes al envío del mensaje y los términos empezarán a contarse cuando el iniciador recepcione acuse de recibo o se pueda por otro medio constatar el acceso del destinatario al mensaje” (Subrayado y resaltado propios)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Al respecto, no sobra precisar que una cosa es el momento en el que se entiende surtido el enteramiento -dos días hábiles siguientes al envío de la misiva- y otra distinta es el inicio del término derivado de la providencia notificada que puede verse afectado si se demuestra que el destinatario no recibió el mensaje de datos.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Sobre la distinción en comento esta Sala predicó recientemente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La ley 2213 de 2022, por cierto, replica en su inciso tercero una regla compuesta de dos partes, la primera idéntica a la que consagraba el Decreto 806 de 2020 ("La notificación personal se entenderá realizada una vez transcurridos dos días hábiles siguientes al envío del mensaje"), y la segunda con ciertas modificaciones, orientadas a que el cómputo de los términos de traslado inicie a partir del momento en que "el iniciador recepcione acuse de recibo o se pueda por otro medio constatar el acceso del destinatario al mensaje".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Como puede verse, en ambos casos la pauta legal diferencia dos fenómenos muy distintos: la notificación personal de una providencia que está sujeta a esa especial forma de enteramiento, y el hito inicial del término de traslado de la demanda, es decir, el punto de partida del plazo que confiere la ley al demandado para ejercer su derecho de contradicción. (STC10689-2022)</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lastRenderedPageBreak/>
        <w:t>iv. También se consagró la posibilidad que tienen las partes de "implementar o utilizar sistemas de confirmación del recibo de los correos electrónicos o mensajes de datos", obvia resaltar, sin limitarse al correo electrónico como canal de comunicación posible.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En esa línea de pensamiento, avaló la opción de “hacer uso del servicio de correo electrónico postal certificada y los servicios postales electrónicos definidos por la Unión Postal Universal -UPU- con cargo a la franquicia postal".</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v. Finalmente, como una de las medidas más garantistas del derecho de defensa y contradicción del demandado, el legislador optó por salvaguardar expresamente el derecho que asiste al destinatario de la notificación, de ventilar sus eventuales inconformidades con la forma en que se surtió el enteramiento mediante la vía de la solicitud de declaratoria de nulidad procesal. En concreto, señaló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Cuando exista discrepancia sobre la forma en que se practicó la notificación, la parte que se considere afectada deberá manifestar bajo la gravedad del juramento, al solicitar la declaratoria de nulidad de lo actuado, que no se enteró de la providencia, además de cumplir con lo dispuesto en los artículos 132 a 138 del Código General del Proceso.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Así las cosas, de lo expuesto no queda duda que el demandante debe cumplir unas exigencias legales con el objetivo de dar convicción sobre la idoneidad y efectividad del canal digital elegido, actividad sobre la cual el juez tiene facultades oficiosas de verificación. Tampoco hay inconveniente en afirmar que para la notificación personal por medios electrónicos es facultativo el uso de los sistemas de confirmación del recibo de los distintos canales digitales y del servicio de correo electrónico postal certificado. Igualmente, no hay problema en admitir que -por presunción legal- es con el envío de la providencia como mensaje de datos que se entiende surtida la notificación personal y, menos, con reconocer que no puede iniciar el cómputo del término derivado de la determinación notificada si se demuestra que el destinatario no recibió la respectiva comunicación.</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3.6. Escenario para discutir irregularidades en torno a la notificación personal con uso de las TIC</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Del panorama recreado -armonizado con la práctica judicial- es dable colegir que, por regla general, si el demandante supera las exigencias iniciales previstas por el legislador tendientes a demostrar la idoneidad del canal digital elegido y el juez hace uso de los poderes de verificación que le otorga el legislador, hay una alta probabilidad de que ese medio resulte efectivo para el enteramiento del demandado o convocado.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igual forma, para los posibles casos en los que, a pesar de lo anterior, exista anomalía con la notificación, tiene el demandado la posibilidad de acudir a la solicitud de declaratoria de nulidad.</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Con ese razonamiento, podría concluirse que el establecimiento de una regla de carácter general según la cual deba requerirse en todos los casos al demandante para que, además de cumplir los requisitos del inciso 2° del artículo 8° de la Ley 2213 de 2022, demuestre que su contraparte recibió la comunicación por él remitida, podría resultar excesiva, incompatible con el </w:t>
      </w:r>
      <w:r w:rsidRPr="00A20F13">
        <w:rPr>
          <w:rFonts w:ascii="Bookman Old Style" w:eastAsia="Times New Roman" w:hAnsi="Bookman Old Style" w:cs="Times New Roman"/>
          <w:color w:val="000000"/>
          <w:sz w:val="24"/>
          <w:szCs w:val="24"/>
          <w:lang w:eastAsia="es-CO"/>
        </w:rPr>
        <w:lastRenderedPageBreak/>
        <w:t>principio constitucional de buena fe, e incluso, contraria al querer y al tenor de la normativa en comento.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Y es que, vistas bien las cosas, no resulta sensato y acorde a los postulados legales de implementación de las TIC, celeridad de los trámites y tutela jurisdiccional efectiva, que se hagan una serie de exigencias previas al demandante tendientes a verificar la idoneidad del canal de comunicación elegido para los fines del proceso, si, de todas formas, ninguna consecuencia jurídica pudiera derivarse de ello.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Resáltese que, al leer cuidadosamente la norma, se advierte que en ningún momento se impone al demandante -o al interesado en la notificación- la carga de probar el acceso del destinatario al mensaje. Lo que la norma procura es que no pueda empezar a andar el término derivado de la providencia a notificar si la misma no arribó a su receptor. De allí que no sea dable a los juzgadores imponer responsabilidades no previstas por el legislador.</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En ese orden, como quiera que la ley no dispone que la prueba del acuse de recibo deba ser aportada por el demandante, bien puede inferirse que se trata de una actividad que también puede cumplir el demandado en los casos en que considere que no tuvo oportuno acceso a la comunicación remitida. Justamente es a él a quien le interesa demostrar la falta de acceso al mensaje con el fin de que no se entienda iniciado el cómputo del término otorgado.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Es en el trámite de la eventual nulidad -y no la etapa inicial del litigio- donde se abre el sendero para que se debata la efectividad o no del enteramiento y, sobre todo, del hito en el que empiezan a correr los términos derivados de la providencia a notificar. Es en ese escenario en el que cobran real importancia las pruebas que las partes aporten para demostrar la recepción, o no, de la misiva remitida por el demandante.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Afirmar lo contrario desdibujaría la desformalización del proceso y la celeridad añorada por el legislador, así como ninguna garantía adicional ofrecería al demandado, quien, en todo caso, siempre tendrá la posibilidad de cuestionar el enteramiento.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No en vano, al declarar la exequibilidad condicionada de esta norma, la homologa constitucional procuró textualmente “orienta[r] la aplicación del remedio de nulidad previsto en el artículo 8°, en tanto provee a los jueces mayores elementos de juicio para valorar su ocurrencia».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Ahora bien, algunos podrían pensar que tal interpretación no resulta suficiente para garantizar que el destinatario recibió la comunicación y que, en tal sentido, el cómputo de términos solo puede andar cuando exista solemne prueba de ello. Sin embargo, esa postura opta por reclamar lo que no exigió el legislador. A decir verdad, basta con remitirse a la norma en comento para advertir que existe la posibilidad de acudir a cualquier “otro medio”, distinto al acuse de recibo, para “constatar” la recepción del mensaje.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Esa tesis también desconoce que, quien se considere afectado con la forma en que se surtió la notificación, tiene la oportunidad de exponerlo ante el juez del asunto bajo juramento y por la vía de la solicitud de declaratoria de nulidad, como se explicó. A modo de ejemplo, es viable resaltar que incluso </w:t>
      </w:r>
      <w:r w:rsidRPr="00A20F13">
        <w:rPr>
          <w:rFonts w:ascii="Bookman Old Style" w:eastAsia="Times New Roman" w:hAnsi="Bookman Old Style" w:cs="Times New Roman"/>
          <w:color w:val="000000"/>
          <w:sz w:val="24"/>
          <w:szCs w:val="24"/>
          <w:lang w:eastAsia="es-CO"/>
        </w:rPr>
        <w:lastRenderedPageBreak/>
        <w:t>los sistemas de confirmación de recibo automático o las certificaciones emitidas por empresas de servicio postal autorizadas -a pesar de que están dotados de cierto grado de fiabilidad- también son susceptibles de equívoco y, para esos eventos, igualmente tiene el demandado la posibilidad de solicitar la declaratoria de nulidad para que los términos que se le otorgan no comiencen a rodar sino desde la fecha de recepción de la misiva.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Dicho en otros términos, dar absoluta y dócil veracidad al acuse de recibo, sería tanto como predicar que en los casos en los que el demandante los acredite, no tendría derecho el demandado a cuestionarlos por la vía de la solicitud de nulidad, lo que a todas luces emerge desproporcionado.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Incluso, en el sistema de notificación personal del Código General del Proceso, existe la posibilidad de que, con soporte en una certificación de entrega o recibo emitida por empresa de servicio postal, comience a correr un respectivo término; no obstante, ello no impide que se tramiten solicitudes de nulidad por las eventuales inconformidades derivadas de la forma en que se surtió el enteramiento.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3.7. En síntesis, tratándose de notificación personal por medios electrónicos, es el demandante quien, en principio, elije los canales digitales para los fines del proceso. En tal sentido debe colmar las exigencias que el legislador le hizo con el propósito de demostrar la idoneidad de la vía de comunicación escogida. Por su parte, el Juez tiene la posibilidad de verificar esa información con el fin de agilizar eficazmente el trámite de notificación y el impulso del proceso.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El enteramiento se entiende surtido dos días hábiles siguientes al envío del mensaje al canal seleccionado y, por regla general, allí empieza a contar el término de contestación o traslado, salvo que el mismo demandante o el juez se percaten de que el mensaje no fue enviado con éxito, o cuando la persona que se considere afectada solicite la nulidad de lo actuado y, en ese trámite, sobre la cuerda de la nulidad procesal proponga el debate probatorio en torno a la efectiva recepción del mensaje.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Además, como el legislador no estableció prueba solemne para demostrar las circunstancias relativas al envío y recepción de la providencia objeto de notificación, es dable acreditar lo respectivo mediante cualquier medio de prueba lícito, conducente y pertinente, dentro de los cuales pueden encontrarse capturas de pantalla, audios, videograbaciones, entre otros medios de naturaleza documental que deberán ser analizados en cada caso particular por los jueces naturales de la disputa." (CSJ STC16733-2022, reiterada en CSJ STC865-2023, STC900-2023 y STC4975-2023).</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3.2. Bajo ese horizonte, revisado el proveído de 23 de febrero pasado, evidencia la Sala que el juzgado querellado desconoció los parámetros antes mencionados, comoquiera que, a pesar de que la ejecutante demostró el envío a su antagonista de la comunicación que ordena el artículo octavo de la ley 2213 de 2022, decidió requerirlo para que allegara “constancia de entrega o acuse de recibo con miras a tener en cuenta la documental con la que pretende acreditar la notificación de su contraparte”, postura que reiteró en el auto de 6 de julio siguiente, que resolvió la reposición interpuesta contra la citada providencia de 23 de febrero, oportunidad en la que adicionó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lastRenderedPageBreak/>
        <w:t>"1. Delanteramente advierte el despacho que mantendrá incólume la decisión atacada por los motivos que serán expuestos a continuación.</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Prevé el inciso 4° del artículo 8° de la Ley 2213 del 2022 que: “Para los fines de esta norma se podrán implementar o utilizar sistemas de confirmación del recibo de los correos electrónicos o mensajes de datos”.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Contrario a lo indicado por el censor, la mencionada ley facultó al operador judicial para requerirle a los sujetos procesales que pretendan valerse de la notificación personal reglada por la misma, que a través de sistemas de confirmación acrediten la fecha en que estas comunicaciones fueron recibidas en las bandejas de entrada de los correos electrónicos.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2. Para el despacho, tal exigencia garantiza el efectivo ejercicio del derecho al debido proceso y de defensa de los demandados, y tal carga procesal a efecto de tener por surtido el enteramiento, de ninguna manera constituye un exceso ritual manifiesto, debido solo de esa manera se acredita el efectivo conocimiento del juicio.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Y es que, bajo el entendimiento del Despacho la carga de la prueba de demostrar que el correo electrónico fue recibido por el demandado recae en la parte que remite la notificación, quien a través de sistemas de confirmación que ofrece el mercado podrá proceder a lo propio.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Para dilucidar la importancia de lo dicho, recordemos que al estudiarse la exequibilidad del inciso 3 del artículo 8° del Decreto Legislativo 806 de 2020 que dispone “la notificación personal se entenderá realizada una vez transcurridos dos días hábiles siguientes al envío del mensaje y los términos empezarán a correr a partir del día siguiente al de la notificación”, la Corte Constitucional indicó que…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 Ahora bien, arguye el recurrente que la carga de demostrar el acceso a la notificación, no es suya como demandante, sino del llamado a juicio, pues así lo explicó la Sala Civil de la Corte Suprema de Justicia en la providencia STC16733-2022. Sin embargo, este Despacho se aparta de ese pronunciamiento judicial, por las siguientes razones: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De un lado, tal pronunciamiento se efectuó en sede de tutela, de manera que sus efectos son inter partes y “Sólo en casos excepcionales es posible hacerlos extensivos a otros sujetos, por vía del establecimiento de los efectos “inter comunis” o “inter pares”. El uso de estos “dispositivos amplificadores” es una competencia reservada a las autoridades judiciales que adoptan las providencias. Particularmente, la jurisprudencia vigente ha establecido que la determinación y aplicación de estas figuras están autorizadas únicamente a la Corte Constitucional” …</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 xml:space="preserve">De otro lado, y más importante aún, en gracia de discusión sobre lo anterior, la disposición es clara al exigir la acreditación sobre el acceso del mensaje de datos por parte del beneficiario, a efecto de contar los términos de la contestación y proseguir el trámite, y aunque de manera expresa no asignó tal carga al demandante, tampoco puede dejarse de lado que el artículo 167 del C. G. del P. dispone que en todos los casos “el juez podrá, de oficio o a petición de parte, distribuir, la carga al decretar las pruebas, durante su práctica o en cualquier momento del proceso antes de fallar, exigiendo probar determinado hecho a la parte que se encuentre en una situación más </w:t>
      </w:r>
      <w:r w:rsidRPr="00A20F13">
        <w:rPr>
          <w:rFonts w:ascii="Bookman Old Style" w:eastAsia="Times New Roman" w:hAnsi="Bookman Old Style" w:cs="Times New Roman"/>
          <w:color w:val="000000"/>
          <w:sz w:val="24"/>
          <w:szCs w:val="24"/>
          <w:lang w:eastAsia="es-CO"/>
        </w:rPr>
        <w:lastRenderedPageBreak/>
        <w:t>favorable para aportar las evidencias o esclarecer los hechos controvertidos”.</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Luego, siendo que resulta más sencilla la demostración para el emisor, de que se obtuvo acuse de recibo o constancia de entrega efectiva al remitir un mensaje de datos, que al destinatario a efecto de probar que ninguna comunicación obtuvo, y adicionalmente, que es deber de la suscrita precaver vicios de procedimiento (num. 5 art. 42 ib); el despacho mantendrá la decisión impugnada."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3.3. Entonces, evidente es que que el fallador enjuiciado erró al desechar los actos que adelantó la actora para enterar a su contraparte del mandamiento de pago librado en el asunto censurado, con fundamento en unas exigencias que no se deducen, razonablemente, de las normas que regulan la notificación electrónica en el ordenamiento procesal civil vigente.</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3.4. Finalmente, surge necesario señalar que la postura aquí condesada constituye el criterio que acogió la Sala, como máxima autoridad de la jurisdicción ordinaria en su especialidad civil (se resalta), por lo que debe constituir un criterio orientador relevante para los funcionarios que la conforman, con miras a resolver los asuntos sometidos a su conocimiento.</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color w:val="000000"/>
          <w:sz w:val="24"/>
          <w:szCs w:val="24"/>
          <w:lang w:eastAsia="es-CO"/>
        </w:rPr>
        <w:t>4. Las consideraciones que anteceden, imponen la revocatoria del fallo objeto de impugnación, para en su lugar, acceder el resguardo rogado, ante la vulneración de la garantía fundamental al debido proceso de las accionantes, por lo que se ordenará al estrado enjuiciado que, tras dejar sin efecto la providencia de seis de julio pasado y toda la actuación que dependa de esa decisión, proceda a dictar una nueva determinación que atienda los razonamientos expuestos en la parte motiva de esta providencia».</w:t>
      </w: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p>
    <w:p w:rsidR="00A20F13" w:rsidRPr="00A20F13" w:rsidRDefault="00A20F13" w:rsidP="00A20F13">
      <w:pPr>
        <w:jc w:val="both"/>
        <w:rPr>
          <w:rFonts w:ascii="Bookman Old Style" w:eastAsia="Times New Roman" w:hAnsi="Bookman Old Style" w:cs="Times New Roman"/>
          <w:color w:val="000000"/>
          <w:sz w:val="24"/>
          <w:szCs w:val="24"/>
          <w:lang w:eastAsia="es-CO"/>
        </w:rPr>
      </w:pPr>
      <w:r w:rsidRPr="00A20F13">
        <w:rPr>
          <w:rFonts w:ascii="Bookman Old Style" w:eastAsia="Times New Roman" w:hAnsi="Bookman Old Style" w:cs="Times New Roman"/>
          <w:b/>
          <w:bCs/>
          <w:color w:val="7D3B05"/>
          <w:sz w:val="24"/>
          <w:szCs w:val="24"/>
          <w:lang w:eastAsia="es-CO"/>
        </w:rPr>
        <w:t>JURISPRUDENCIA RELACIONADA: </w:t>
      </w:r>
      <w:r w:rsidRPr="00A20F13">
        <w:rPr>
          <w:rFonts w:ascii="Bookman Old Style" w:eastAsia="Times New Roman" w:hAnsi="Bookman Old Style" w:cs="Times New Roman"/>
          <w:color w:val="000000"/>
          <w:sz w:val="24"/>
          <w:szCs w:val="24"/>
          <w:lang w:eastAsia="es-CO"/>
        </w:rPr>
        <w:t>CSJ SC17162-2015, CSJ STC16733-2022, CSJ STC13993-2019, CSJ STC8125-2022, CSJ STC865-2023 CSJ STC900-2023, CSJ 4975-2023, CSJ STC690-2020</w:t>
      </w:r>
    </w:p>
    <w:p w:rsidR="004E581A" w:rsidRPr="00563ED3" w:rsidRDefault="004E581A" w:rsidP="00A20F13">
      <w:pPr>
        <w:rPr>
          <w:rFonts w:ascii="Bookman Old Style" w:eastAsia="Times New Roman" w:hAnsi="Bookman Old Style" w:cs="Times New Roman"/>
          <w:color w:val="000000"/>
          <w:sz w:val="24"/>
          <w:szCs w:val="24"/>
          <w:lang w:eastAsia="es-CO"/>
        </w:rPr>
      </w:pPr>
    </w:p>
    <w:sectPr w:rsidR="004E581A" w:rsidRPr="00563ED3" w:rsidSect="00C859B4">
      <w:pgSz w:w="12242" w:h="18722" w:code="14"/>
      <w:pgMar w:top="1418" w:right="1701" w:bottom="1418" w:left="1701" w:header="709" w:footer="709" w:gutter="0"/>
      <w:paperSrc w:first="1" w:other="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F13"/>
    <w:rsid w:val="004E581A"/>
    <w:rsid w:val="00563ED3"/>
    <w:rsid w:val="00901E70"/>
    <w:rsid w:val="00914C55"/>
    <w:rsid w:val="00A20F13"/>
    <w:rsid w:val="00C859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EB32F-5730-47D7-B365-C773161E6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4C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982464">
      <w:bodyDiv w:val="1"/>
      <w:marLeft w:val="0"/>
      <w:marRight w:val="0"/>
      <w:marTop w:val="0"/>
      <w:marBottom w:val="0"/>
      <w:divBdr>
        <w:top w:val="none" w:sz="0" w:space="0" w:color="auto"/>
        <w:left w:val="none" w:sz="0" w:space="0" w:color="auto"/>
        <w:bottom w:val="none" w:sz="0" w:space="0" w:color="auto"/>
        <w:right w:val="none" w:sz="0" w:space="0" w:color="auto"/>
      </w:divBdr>
      <w:divsChild>
        <w:div w:id="713889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MAR2024/STC8435-2023.docx"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7685</Words>
  <Characters>42269</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Lopez Briceño</dc:creator>
  <cp:keywords/>
  <dc:description/>
  <cp:lastModifiedBy>Jorge Alexander Lopez Briceño</cp:lastModifiedBy>
  <cp:revision>2</cp:revision>
  <dcterms:created xsi:type="dcterms:W3CDTF">2024-03-08T21:14:00Z</dcterms:created>
  <dcterms:modified xsi:type="dcterms:W3CDTF">2024-03-08T21:24:00Z</dcterms:modified>
</cp:coreProperties>
</file>