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0AF0" w:rsidRPr="00310AF0" w:rsidRDefault="00310AF0" w:rsidP="00310AF0">
      <w:pPr>
        <w:jc w:val="center"/>
        <w:rPr>
          <w:rFonts w:ascii="Bookman Old Style" w:eastAsia="Times New Roman" w:hAnsi="Bookman Old Style" w:cs="Times New Roman"/>
          <w:color w:val="000000"/>
          <w:sz w:val="24"/>
          <w:szCs w:val="24"/>
          <w:lang w:eastAsia="es-CO"/>
        </w:rPr>
      </w:pPr>
      <w:r w:rsidRPr="00310AF0">
        <w:rPr>
          <w:rFonts w:ascii="Bookman Old Style" w:eastAsia="Times New Roman" w:hAnsi="Bookman Old Style" w:cs="Times New Roman"/>
          <w:noProof/>
          <w:color w:val="000000"/>
          <w:sz w:val="24"/>
          <w:szCs w:val="24"/>
          <w:lang w:eastAsia="es-CO"/>
        </w:rPr>
        <w:drawing>
          <wp:inline distT="0" distB="0" distL="0" distR="0">
            <wp:extent cx="1390650" cy="1314450"/>
            <wp:effectExtent l="0" t="0" r="0" b="0"/>
            <wp:docPr id="1" name="Imagen 1" descr="http://190.217.24.13:8080/WebRelatoria/img/top_cs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90.217.24.13:8080/WebRelatoria/img/top_csj.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90650" cy="1314450"/>
                    </a:xfrm>
                    <a:prstGeom prst="rect">
                      <a:avLst/>
                    </a:prstGeom>
                    <a:noFill/>
                    <a:ln>
                      <a:noFill/>
                    </a:ln>
                  </pic:spPr>
                </pic:pic>
              </a:graphicData>
            </a:graphic>
          </wp:inline>
        </w:drawing>
      </w:r>
    </w:p>
    <w:p w:rsidR="00310AF0" w:rsidRPr="00310AF0" w:rsidRDefault="00310AF0" w:rsidP="00310AF0">
      <w:pPr>
        <w:rPr>
          <w:rFonts w:ascii="Bookman Old Style" w:eastAsia="Times New Roman" w:hAnsi="Bookman Old Style" w:cs="Times New Roman"/>
          <w:color w:val="000000"/>
          <w:sz w:val="24"/>
          <w:szCs w:val="24"/>
          <w:lang w:eastAsia="es-CO"/>
        </w:rPr>
      </w:pPr>
    </w:p>
    <w:p w:rsidR="00310AF0" w:rsidRPr="00310AF0" w:rsidRDefault="00310AF0" w:rsidP="00310AF0">
      <w:pPr>
        <w:rPr>
          <w:rFonts w:ascii="Bookman Old Style" w:eastAsia="Times New Roman" w:hAnsi="Bookman Old Style" w:cs="Times New Roman"/>
          <w:sz w:val="24"/>
          <w:szCs w:val="24"/>
          <w:lang w:eastAsia="es-CO"/>
        </w:rPr>
      </w:pPr>
    </w:p>
    <w:p w:rsidR="00310AF0" w:rsidRPr="00310AF0" w:rsidRDefault="00310AF0" w:rsidP="00310AF0">
      <w:pPr>
        <w:jc w:val="center"/>
        <w:rPr>
          <w:rFonts w:ascii="Bookman Old Style" w:eastAsia="Times New Roman" w:hAnsi="Bookman Old Style" w:cs="Times New Roman"/>
          <w:color w:val="000000"/>
          <w:sz w:val="24"/>
          <w:szCs w:val="24"/>
          <w:lang w:eastAsia="es-CO"/>
        </w:rPr>
      </w:pPr>
      <w:r w:rsidRPr="00310AF0">
        <w:rPr>
          <w:rFonts w:ascii="Bookman Old Style" w:eastAsia="Times New Roman" w:hAnsi="Bookman Old Style" w:cs="Times New Roman"/>
          <w:b/>
          <w:bCs/>
          <w:color w:val="000000"/>
          <w:sz w:val="24"/>
          <w:szCs w:val="24"/>
          <w:lang w:eastAsia="es-CO"/>
        </w:rPr>
        <w:t>TUTELA</w:t>
      </w:r>
    </w:p>
    <w:p w:rsidR="00310AF0" w:rsidRPr="00310AF0" w:rsidRDefault="00310AF0" w:rsidP="00310AF0">
      <w:pPr>
        <w:rPr>
          <w:rFonts w:ascii="Bookman Old Style" w:eastAsia="Times New Roman" w:hAnsi="Bookman Old Style" w:cs="Times New Roman"/>
          <w:color w:val="000000"/>
          <w:sz w:val="24"/>
          <w:szCs w:val="24"/>
          <w:lang w:eastAsia="es-CO"/>
        </w:rPr>
      </w:pPr>
    </w:p>
    <w:p w:rsidR="00310AF0" w:rsidRPr="00310AF0" w:rsidRDefault="00310AF0" w:rsidP="00310AF0">
      <w:pPr>
        <w:rPr>
          <w:rFonts w:ascii="Bookman Old Style" w:eastAsia="Times New Roman" w:hAnsi="Bookman Old Style" w:cs="Times New Roman"/>
          <w:sz w:val="24"/>
          <w:szCs w:val="24"/>
          <w:lang w:eastAsia="es-CO"/>
        </w:rPr>
      </w:pPr>
    </w:p>
    <w:p w:rsidR="00310AF0" w:rsidRPr="00310AF0" w:rsidRDefault="00310AF0" w:rsidP="00310AF0">
      <w:pPr>
        <w:jc w:val="center"/>
        <w:rPr>
          <w:rFonts w:ascii="Bookman Old Style" w:eastAsia="Times New Roman" w:hAnsi="Bookman Old Style" w:cs="Times New Roman"/>
          <w:color w:val="000000"/>
          <w:sz w:val="24"/>
          <w:szCs w:val="24"/>
          <w:lang w:eastAsia="es-CO"/>
        </w:rPr>
      </w:pPr>
      <w:r w:rsidRPr="00310AF0">
        <w:rPr>
          <w:rFonts w:ascii="Bookman Old Style" w:eastAsia="Times New Roman" w:hAnsi="Bookman Old Style" w:cs="Times New Roman"/>
          <w:b/>
          <w:bCs/>
          <w:color w:val="000000"/>
          <w:sz w:val="24"/>
          <w:szCs w:val="24"/>
          <w:lang w:eastAsia="es-CO"/>
        </w:rPr>
        <w:t>REPORTE DE CONSULTA</w:t>
      </w:r>
    </w:p>
    <w:p w:rsidR="00310AF0" w:rsidRPr="00310AF0" w:rsidRDefault="00310AF0" w:rsidP="00310AF0">
      <w:pPr>
        <w:rPr>
          <w:rFonts w:ascii="Bookman Old Style" w:eastAsia="Times New Roman" w:hAnsi="Bookman Old Style" w:cs="Times New Roman"/>
          <w:sz w:val="24"/>
          <w:szCs w:val="24"/>
          <w:lang w:eastAsia="es-CO"/>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824"/>
      </w:tblGrid>
      <w:tr w:rsidR="00310AF0" w:rsidRPr="00310AF0" w:rsidTr="00310AF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10AF0" w:rsidRPr="00310AF0" w:rsidRDefault="00310AF0" w:rsidP="00310AF0">
            <w:pPr>
              <w:shd w:val="clear" w:color="auto" w:fill="BBFFAA"/>
              <w:jc w:val="center"/>
              <w:divId w:val="1500654959"/>
              <w:rPr>
                <w:rFonts w:ascii="Bookman Old Style" w:eastAsia="Times New Roman" w:hAnsi="Bookman Old Style" w:cs="Times New Roman"/>
                <w:sz w:val="24"/>
                <w:szCs w:val="24"/>
                <w:lang w:eastAsia="es-CO"/>
              </w:rPr>
            </w:pPr>
            <w:r w:rsidRPr="00310AF0">
              <w:rPr>
                <w:rFonts w:ascii="Bookman Old Style" w:eastAsia="Times New Roman" w:hAnsi="Bookman Old Style" w:cs="Times New Roman"/>
                <w:b/>
                <w:bCs/>
                <w:sz w:val="24"/>
                <w:szCs w:val="24"/>
                <w:lang w:eastAsia="es-CO"/>
              </w:rPr>
              <w:t>RELEVANTE</w:t>
            </w:r>
          </w:p>
          <w:p w:rsidR="00310AF0" w:rsidRPr="00310AF0" w:rsidRDefault="00310AF0" w:rsidP="00310AF0">
            <w:pPr>
              <w:rPr>
                <w:rFonts w:ascii="Bookman Old Style" w:eastAsia="Times New Roman" w:hAnsi="Bookman Old Style" w:cs="Times New Roman"/>
                <w:sz w:val="24"/>
                <w:szCs w:val="24"/>
                <w:lang w:eastAsia="es-CO"/>
              </w:rPr>
            </w:pPr>
          </w:p>
          <w:p w:rsidR="00310AF0" w:rsidRPr="00310AF0" w:rsidRDefault="00310AF0" w:rsidP="00310AF0">
            <w:pPr>
              <w:rPr>
                <w:rFonts w:ascii="Bookman Old Style" w:eastAsia="Times New Roman" w:hAnsi="Bookman Old Style" w:cs="Times New Roman"/>
                <w:sz w:val="24"/>
                <w:szCs w:val="24"/>
                <w:lang w:eastAsia="es-CO"/>
              </w:rPr>
            </w:pPr>
            <w:r w:rsidRPr="00310AF0">
              <w:rPr>
                <w:rFonts w:ascii="Bookman Old Style" w:eastAsia="Times New Roman" w:hAnsi="Bookman Old Style" w:cs="Times New Roman"/>
                <w:b/>
                <w:bCs/>
                <w:sz w:val="24"/>
                <w:szCs w:val="24"/>
                <w:lang w:eastAsia="es-CO"/>
              </w:rPr>
              <w:t>SALA DE CASACIÓN CIVIL, AGRARIA Y RURAL</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795"/>
              <w:gridCol w:w="137"/>
              <w:gridCol w:w="4772"/>
            </w:tblGrid>
            <w:tr w:rsidR="00310AF0" w:rsidRPr="00310AF0">
              <w:trPr>
                <w:tblCellSpacing w:w="15" w:type="dxa"/>
              </w:trPr>
              <w:tc>
                <w:tcPr>
                  <w:tcW w:w="3750" w:type="dxa"/>
                  <w:hideMark/>
                </w:tcPr>
                <w:p w:rsidR="00310AF0" w:rsidRPr="00310AF0" w:rsidRDefault="00310AF0" w:rsidP="00310AF0">
                  <w:pPr>
                    <w:rPr>
                      <w:rFonts w:ascii="Bookman Old Style" w:eastAsia="Times New Roman" w:hAnsi="Bookman Old Style" w:cs="Times New Roman"/>
                      <w:sz w:val="24"/>
                      <w:szCs w:val="24"/>
                      <w:lang w:eastAsia="es-CO"/>
                    </w:rPr>
                  </w:pPr>
                  <w:r w:rsidRPr="00310AF0">
                    <w:rPr>
                      <w:rFonts w:ascii="Bookman Old Style" w:eastAsia="Times New Roman" w:hAnsi="Bookman Old Style" w:cs="Times New Roman"/>
                      <w:b/>
                      <w:bCs/>
                      <w:color w:val="7D3B05"/>
                      <w:sz w:val="24"/>
                      <w:szCs w:val="24"/>
                      <w:lang w:eastAsia="es-CO"/>
                    </w:rPr>
                    <w:t>ID</w:t>
                  </w:r>
                </w:p>
              </w:tc>
              <w:tc>
                <w:tcPr>
                  <w:tcW w:w="75" w:type="dxa"/>
                  <w:hideMark/>
                </w:tcPr>
                <w:p w:rsidR="00310AF0" w:rsidRPr="00310AF0" w:rsidRDefault="00310AF0" w:rsidP="00310AF0">
                  <w:pPr>
                    <w:rPr>
                      <w:rFonts w:ascii="Bookman Old Style" w:eastAsia="Times New Roman" w:hAnsi="Bookman Old Style" w:cs="Times New Roman"/>
                      <w:sz w:val="24"/>
                      <w:szCs w:val="24"/>
                      <w:lang w:eastAsia="es-CO"/>
                    </w:rPr>
                  </w:pPr>
                  <w:r w:rsidRPr="00310AF0">
                    <w:rPr>
                      <w:rFonts w:ascii="Bookman Old Style" w:eastAsia="Times New Roman" w:hAnsi="Bookman Old Style" w:cs="Times New Roman"/>
                      <w:sz w:val="24"/>
                      <w:szCs w:val="24"/>
                      <w:lang w:eastAsia="es-CO"/>
                    </w:rPr>
                    <w:t>:</w:t>
                  </w:r>
                </w:p>
              </w:tc>
              <w:tc>
                <w:tcPr>
                  <w:tcW w:w="0" w:type="auto"/>
                  <w:vAlign w:val="center"/>
                  <w:hideMark/>
                </w:tcPr>
                <w:p w:rsidR="00310AF0" w:rsidRPr="00310AF0" w:rsidRDefault="00310AF0" w:rsidP="00310AF0">
                  <w:pPr>
                    <w:jc w:val="both"/>
                    <w:rPr>
                      <w:rFonts w:ascii="Bookman Old Style" w:eastAsia="Times New Roman" w:hAnsi="Bookman Old Style" w:cs="Times New Roman"/>
                      <w:sz w:val="24"/>
                      <w:szCs w:val="24"/>
                      <w:lang w:eastAsia="es-CO"/>
                    </w:rPr>
                  </w:pPr>
                  <w:r w:rsidRPr="00310AF0">
                    <w:rPr>
                      <w:rFonts w:ascii="Bookman Old Style" w:eastAsia="Times New Roman" w:hAnsi="Bookman Old Style" w:cs="Times New Roman"/>
                      <w:sz w:val="24"/>
                      <w:szCs w:val="24"/>
                      <w:lang w:eastAsia="es-CO"/>
                    </w:rPr>
                    <w:t>885726</w:t>
                  </w:r>
                </w:p>
              </w:tc>
            </w:tr>
            <w:tr w:rsidR="00310AF0" w:rsidRPr="00310AF0">
              <w:trPr>
                <w:tblCellSpacing w:w="15" w:type="dxa"/>
              </w:trPr>
              <w:tc>
                <w:tcPr>
                  <w:tcW w:w="3750" w:type="dxa"/>
                  <w:hideMark/>
                </w:tcPr>
                <w:p w:rsidR="00310AF0" w:rsidRPr="00310AF0" w:rsidRDefault="00310AF0" w:rsidP="00310AF0">
                  <w:pPr>
                    <w:rPr>
                      <w:rFonts w:ascii="Bookman Old Style" w:eastAsia="Times New Roman" w:hAnsi="Bookman Old Style" w:cs="Times New Roman"/>
                      <w:sz w:val="24"/>
                      <w:szCs w:val="24"/>
                      <w:lang w:eastAsia="es-CO"/>
                    </w:rPr>
                  </w:pPr>
                  <w:r w:rsidRPr="00310AF0">
                    <w:rPr>
                      <w:rFonts w:ascii="Bookman Old Style" w:eastAsia="Times New Roman" w:hAnsi="Bookman Old Style" w:cs="Times New Roman"/>
                      <w:b/>
                      <w:bCs/>
                      <w:color w:val="7D3B05"/>
                      <w:sz w:val="24"/>
                      <w:szCs w:val="24"/>
                      <w:lang w:eastAsia="es-CO"/>
                    </w:rPr>
                    <w:t>M. PONENTE</w:t>
                  </w:r>
                </w:p>
              </w:tc>
              <w:tc>
                <w:tcPr>
                  <w:tcW w:w="75" w:type="dxa"/>
                  <w:hideMark/>
                </w:tcPr>
                <w:p w:rsidR="00310AF0" w:rsidRPr="00310AF0" w:rsidRDefault="00310AF0" w:rsidP="00310AF0">
                  <w:pPr>
                    <w:rPr>
                      <w:rFonts w:ascii="Bookman Old Style" w:eastAsia="Times New Roman" w:hAnsi="Bookman Old Style" w:cs="Times New Roman"/>
                      <w:sz w:val="24"/>
                      <w:szCs w:val="24"/>
                      <w:lang w:eastAsia="es-CO"/>
                    </w:rPr>
                  </w:pPr>
                  <w:r w:rsidRPr="00310AF0">
                    <w:rPr>
                      <w:rFonts w:ascii="Bookman Old Style" w:eastAsia="Times New Roman" w:hAnsi="Bookman Old Style" w:cs="Times New Roman"/>
                      <w:sz w:val="24"/>
                      <w:szCs w:val="24"/>
                      <w:lang w:eastAsia="es-CO"/>
                    </w:rPr>
                    <w:t>:</w:t>
                  </w:r>
                </w:p>
              </w:tc>
              <w:tc>
                <w:tcPr>
                  <w:tcW w:w="0" w:type="auto"/>
                  <w:vAlign w:val="center"/>
                  <w:hideMark/>
                </w:tcPr>
                <w:p w:rsidR="00310AF0" w:rsidRPr="00310AF0" w:rsidRDefault="00310AF0" w:rsidP="00310AF0">
                  <w:pPr>
                    <w:jc w:val="both"/>
                    <w:rPr>
                      <w:rFonts w:ascii="Bookman Old Style" w:eastAsia="Times New Roman" w:hAnsi="Bookman Old Style" w:cs="Times New Roman"/>
                      <w:sz w:val="24"/>
                      <w:szCs w:val="24"/>
                      <w:lang w:eastAsia="es-CO"/>
                    </w:rPr>
                  </w:pPr>
                  <w:r w:rsidRPr="00310AF0">
                    <w:rPr>
                      <w:rFonts w:ascii="Bookman Old Style" w:eastAsia="Times New Roman" w:hAnsi="Bookman Old Style" w:cs="Times New Roman"/>
                      <w:sz w:val="24"/>
                      <w:szCs w:val="24"/>
                      <w:lang w:eastAsia="es-CO"/>
                    </w:rPr>
                    <w:t>FERNANDO AUGUSTO JIMÉNEZ VALDERRAMA</w:t>
                  </w:r>
                </w:p>
              </w:tc>
            </w:tr>
            <w:tr w:rsidR="00310AF0" w:rsidRPr="00310AF0">
              <w:trPr>
                <w:tblCellSpacing w:w="15" w:type="dxa"/>
              </w:trPr>
              <w:tc>
                <w:tcPr>
                  <w:tcW w:w="3750" w:type="dxa"/>
                  <w:hideMark/>
                </w:tcPr>
                <w:p w:rsidR="00310AF0" w:rsidRPr="00310AF0" w:rsidRDefault="00310AF0" w:rsidP="00310AF0">
                  <w:pPr>
                    <w:rPr>
                      <w:rFonts w:ascii="Bookman Old Style" w:eastAsia="Times New Roman" w:hAnsi="Bookman Old Style" w:cs="Times New Roman"/>
                      <w:sz w:val="24"/>
                      <w:szCs w:val="24"/>
                      <w:lang w:eastAsia="es-CO"/>
                    </w:rPr>
                  </w:pPr>
                  <w:r w:rsidRPr="00310AF0">
                    <w:rPr>
                      <w:rFonts w:ascii="Bookman Old Style" w:eastAsia="Times New Roman" w:hAnsi="Bookman Old Style" w:cs="Times New Roman"/>
                      <w:b/>
                      <w:bCs/>
                      <w:color w:val="7D3B05"/>
                      <w:sz w:val="24"/>
                      <w:szCs w:val="24"/>
                      <w:lang w:eastAsia="es-CO"/>
                    </w:rPr>
                    <w:t>NÚMERO DE PROCESO</w:t>
                  </w:r>
                </w:p>
              </w:tc>
              <w:tc>
                <w:tcPr>
                  <w:tcW w:w="75" w:type="dxa"/>
                  <w:hideMark/>
                </w:tcPr>
                <w:p w:rsidR="00310AF0" w:rsidRPr="00310AF0" w:rsidRDefault="00310AF0" w:rsidP="00310AF0">
                  <w:pPr>
                    <w:rPr>
                      <w:rFonts w:ascii="Bookman Old Style" w:eastAsia="Times New Roman" w:hAnsi="Bookman Old Style" w:cs="Times New Roman"/>
                      <w:sz w:val="24"/>
                      <w:szCs w:val="24"/>
                      <w:lang w:eastAsia="es-CO"/>
                    </w:rPr>
                  </w:pPr>
                  <w:r w:rsidRPr="00310AF0">
                    <w:rPr>
                      <w:rFonts w:ascii="Bookman Old Style" w:eastAsia="Times New Roman" w:hAnsi="Bookman Old Style" w:cs="Times New Roman"/>
                      <w:sz w:val="24"/>
                      <w:szCs w:val="24"/>
                      <w:lang w:eastAsia="es-CO"/>
                    </w:rPr>
                    <w:t>:</w:t>
                  </w:r>
                </w:p>
              </w:tc>
              <w:tc>
                <w:tcPr>
                  <w:tcW w:w="0" w:type="auto"/>
                  <w:vAlign w:val="center"/>
                  <w:hideMark/>
                </w:tcPr>
                <w:p w:rsidR="00310AF0" w:rsidRPr="00310AF0" w:rsidRDefault="00310AF0" w:rsidP="00310AF0">
                  <w:pPr>
                    <w:jc w:val="both"/>
                    <w:rPr>
                      <w:rFonts w:ascii="Bookman Old Style" w:eastAsia="Times New Roman" w:hAnsi="Bookman Old Style" w:cs="Times New Roman"/>
                      <w:sz w:val="24"/>
                      <w:szCs w:val="24"/>
                      <w:lang w:eastAsia="es-CO"/>
                    </w:rPr>
                  </w:pPr>
                  <w:r w:rsidRPr="00310AF0">
                    <w:rPr>
                      <w:rFonts w:ascii="Bookman Old Style" w:eastAsia="Times New Roman" w:hAnsi="Bookman Old Style" w:cs="Times New Roman"/>
                      <w:sz w:val="24"/>
                      <w:szCs w:val="24"/>
                      <w:lang w:eastAsia="es-CO"/>
                    </w:rPr>
                    <w:t>T 1100122030002024-01420-01</w:t>
                  </w:r>
                </w:p>
              </w:tc>
            </w:tr>
            <w:tr w:rsidR="00310AF0" w:rsidRPr="00310AF0">
              <w:trPr>
                <w:tblCellSpacing w:w="15" w:type="dxa"/>
              </w:trPr>
              <w:tc>
                <w:tcPr>
                  <w:tcW w:w="3750" w:type="dxa"/>
                  <w:hideMark/>
                </w:tcPr>
                <w:p w:rsidR="00310AF0" w:rsidRPr="00310AF0" w:rsidRDefault="00310AF0" w:rsidP="00310AF0">
                  <w:pPr>
                    <w:rPr>
                      <w:rFonts w:ascii="Bookman Old Style" w:eastAsia="Times New Roman" w:hAnsi="Bookman Old Style" w:cs="Times New Roman"/>
                      <w:sz w:val="24"/>
                      <w:szCs w:val="24"/>
                      <w:lang w:eastAsia="es-CO"/>
                    </w:rPr>
                  </w:pPr>
                  <w:r w:rsidRPr="00310AF0">
                    <w:rPr>
                      <w:rFonts w:ascii="Bookman Old Style" w:eastAsia="Times New Roman" w:hAnsi="Bookman Old Style" w:cs="Times New Roman"/>
                      <w:b/>
                      <w:bCs/>
                      <w:color w:val="7D3B05"/>
                      <w:sz w:val="24"/>
                      <w:szCs w:val="24"/>
                      <w:lang w:eastAsia="es-CO"/>
                    </w:rPr>
                    <w:t>NÚMERO DE PROVIDENCIA</w:t>
                  </w:r>
                </w:p>
              </w:tc>
              <w:tc>
                <w:tcPr>
                  <w:tcW w:w="75" w:type="dxa"/>
                  <w:hideMark/>
                </w:tcPr>
                <w:p w:rsidR="00310AF0" w:rsidRPr="00310AF0" w:rsidRDefault="00310AF0" w:rsidP="00310AF0">
                  <w:pPr>
                    <w:rPr>
                      <w:rFonts w:ascii="Bookman Old Style" w:eastAsia="Times New Roman" w:hAnsi="Bookman Old Style" w:cs="Times New Roman"/>
                      <w:sz w:val="24"/>
                      <w:szCs w:val="24"/>
                      <w:lang w:eastAsia="es-CO"/>
                    </w:rPr>
                  </w:pPr>
                  <w:r w:rsidRPr="00310AF0">
                    <w:rPr>
                      <w:rFonts w:ascii="Bookman Old Style" w:eastAsia="Times New Roman" w:hAnsi="Bookman Old Style" w:cs="Times New Roman"/>
                      <w:sz w:val="24"/>
                      <w:szCs w:val="24"/>
                      <w:lang w:eastAsia="es-CO"/>
                    </w:rPr>
                    <w:t>:</w:t>
                  </w:r>
                </w:p>
              </w:tc>
              <w:tc>
                <w:tcPr>
                  <w:tcW w:w="0" w:type="auto"/>
                  <w:vAlign w:val="center"/>
                  <w:hideMark/>
                </w:tcPr>
                <w:p w:rsidR="00310AF0" w:rsidRPr="00310AF0" w:rsidRDefault="006E70A2" w:rsidP="00310AF0">
                  <w:pPr>
                    <w:jc w:val="both"/>
                    <w:rPr>
                      <w:rFonts w:ascii="Bookman Old Style" w:eastAsia="Times New Roman" w:hAnsi="Bookman Old Style" w:cs="Times New Roman"/>
                      <w:sz w:val="24"/>
                      <w:szCs w:val="24"/>
                      <w:lang w:eastAsia="es-CO"/>
                    </w:rPr>
                  </w:pPr>
                  <w:hyperlink r:id="rId5" w:history="1">
                    <w:r w:rsidR="00310AF0" w:rsidRPr="006E70A2">
                      <w:rPr>
                        <w:rStyle w:val="Hipervnculo"/>
                        <w:rFonts w:ascii="Bookman Old Style" w:eastAsia="Times New Roman" w:hAnsi="Bookman Old Style" w:cs="Times New Roman"/>
                        <w:sz w:val="24"/>
                        <w:szCs w:val="24"/>
                        <w:lang w:eastAsia="es-CO"/>
                      </w:rPr>
                      <w:t>STC8563-2024</w:t>
                    </w:r>
                  </w:hyperlink>
                  <w:bookmarkStart w:id="0" w:name="_GoBack"/>
                  <w:bookmarkEnd w:id="0"/>
                </w:p>
              </w:tc>
            </w:tr>
            <w:tr w:rsidR="00310AF0" w:rsidRPr="00310AF0">
              <w:trPr>
                <w:tblCellSpacing w:w="15" w:type="dxa"/>
              </w:trPr>
              <w:tc>
                <w:tcPr>
                  <w:tcW w:w="3750" w:type="dxa"/>
                  <w:hideMark/>
                </w:tcPr>
                <w:p w:rsidR="00310AF0" w:rsidRPr="00310AF0" w:rsidRDefault="00310AF0" w:rsidP="00310AF0">
                  <w:pPr>
                    <w:rPr>
                      <w:rFonts w:ascii="Bookman Old Style" w:eastAsia="Times New Roman" w:hAnsi="Bookman Old Style" w:cs="Times New Roman"/>
                      <w:sz w:val="24"/>
                      <w:szCs w:val="24"/>
                      <w:lang w:eastAsia="es-CO"/>
                    </w:rPr>
                  </w:pPr>
                  <w:r w:rsidRPr="00310AF0">
                    <w:rPr>
                      <w:rFonts w:ascii="Bookman Old Style" w:eastAsia="Times New Roman" w:hAnsi="Bookman Old Style" w:cs="Times New Roman"/>
                      <w:b/>
                      <w:bCs/>
                      <w:color w:val="7D3B05"/>
                      <w:sz w:val="24"/>
                      <w:szCs w:val="24"/>
                      <w:lang w:eastAsia="es-CO"/>
                    </w:rPr>
                    <w:t>PROCEDENCIA</w:t>
                  </w:r>
                </w:p>
              </w:tc>
              <w:tc>
                <w:tcPr>
                  <w:tcW w:w="75" w:type="dxa"/>
                  <w:hideMark/>
                </w:tcPr>
                <w:p w:rsidR="00310AF0" w:rsidRPr="00310AF0" w:rsidRDefault="00310AF0" w:rsidP="00310AF0">
                  <w:pPr>
                    <w:rPr>
                      <w:rFonts w:ascii="Bookman Old Style" w:eastAsia="Times New Roman" w:hAnsi="Bookman Old Style" w:cs="Times New Roman"/>
                      <w:sz w:val="24"/>
                      <w:szCs w:val="24"/>
                      <w:lang w:eastAsia="es-CO"/>
                    </w:rPr>
                  </w:pPr>
                  <w:r w:rsidRPr="00310AF0">
                    <w:rPr>
                      <w:rFonts w:ascii="Bookman Old Style" w:eastAsia="Times New Roman" w:hAnsi="Bookman Old Style" w:cs="Times New Roman"/>
                      <w:sz w:val="24"/>
                      <w:szCs w:val="24"/>
                      <w:lang w:eastAsia="es-CO"/>
                    </w:rPr>
                    <w:t>:</w:t>
                  </w:r>
                </w:p>
              </w:tc>
              <w:tc>
                <w:tcPr>
                  <w:tcW w:w="0" w:type="auto"/>
                  <w:vAlign w:val="center"/>
                  <w:hideMark/>
                </w:tcPr>
                <w:p w:rsidR="00310AF0" w:rsidRPr="00310AF0" w:rsidRDefault="00310AF0" w:rsidP="00310AF0">
                  <w:pPr>
                    <w:jc w:val="both"/>
                    <w:rPr>
                      <w:rFonts w:ascii="Bookman Old Style" w:eastAsia="Times New Roman" w:hAnsi="Bookman Old Style" w:cs="Times New Roman"/>
                      <w:sz w:val="24"/>
                      <w:szCs w:val="24"/>
                      <w:lang w:eastAsia="es-CO"/>
                    </w:rPr>
                  </w:pPr>
                  <w:r w:rsidRPr="00310AF0">
                    <w:rPr>
                      <w:rFonts w:ascii="Bookman Old Style" w:eastAsia="Times New Roman" w:hAnsi="Bookman Old Style" w:cs="Times New Roman"/>
                      <w:sz w:val="24"/>
                      <w:szCs w:val="24"/>
                      <w:lang w:eastAsia="es-CO"/>
                    </w:rPr>
                    <w:t>Sala Civil del Tribunal Superior del Distrito Judicial de Bogotá</w:t>
                  </w:r>
                </w:p>
              </w:tc>
            </w:tr>
            <w:tr w:rsidR="00310AF0" w:rsidRPr="00310AF0">
              <w:trPr>
                <w:tblCellSpacing w:w="15" w:type="dxa"/>
              </w:trPr>
              <w:tc>
                <w:tcPr>
                  <w:tcW w:w="3750" w:type="dxa"/>
                  <w:hideMark/>
                </w:tcPr>
                <w:p w:rsidR="00310AF0" w:rsidRPr="00310AF0" w:rsidRDefault="00310AF0" w:rsidP="00310AF0">
                  <w:pPr>
                    <w:rPr>
                      <w:rFonts w:ascii="Bookman Old Style" w:eastAsia="Times New Roman" w:hAnsi="Bookman Old Style" w:cs="Times New Roman"/>
                      <w:sz w:val="24"/>
                      <w:szCs w:val="24"/>
                      <w:lang w:eastAsia="es-CO"/>
                    </w:rPr>
                  </w:pPr>
                  <w:r w:rsidRPr="00310AF0">
                    <w:rPr>
                      <w:rFonts w:ascii="Bookman Old Style" w:eastAsia="Times New Roman" w:hAnsi="Bookman Old Style" w:cs="Times New Roman"/>
                      <w:b/>
                      <w:bCs/>
                      <w:color w:val="7D3B05"/>
                      <w:sz w:val="24"/>
                      <w:szCs w:val="24"/>
                      <w:lang w:eastAsia="es-CO"/>
                    </w:rPr>
                    <w:t>CLASE DE ACTUACIÓN</w:t>
                  </w:r>
                </w:p>
              </w:tc>
              <w:tc>
                <w:tcPr>
                  <w:tcW w:w="75" w:type="dxa"/>
                  <w:hideMark/>
                </w:tcPr>
                <w:p w:rsidR="00310AF0" w:rsidRPr="00310AF0" w:rsidRDefault="00310AF0" w:rsidP="00310AF0">
                  <w:pPr>
                    <w:rPr>
                      <w:rFonts w:ascii="Bookman Old Style" w:eastAsia="Times New Roman" w:hAnsi="Bookman Old Style" w:cs="Times New Roman"/>
                      <w:sz w:val="24"/>
                      <w:szCs w:val="24"/>
                      <w:lang w:eastAsia="es-CO"/>
                    </w:rPr>
                  </w:pPr>
                  <w:r w:rsidRPr="00310AF0">
                    <w:rPr>
                      <w:rFonts w:ascii="Bookman Old Style" w:eastAsia="Times New Roman" w:hAnsi="Bookman Old Style" w:cs="Times New Roman"/>
                      <w:sz w:val="24"/>
                      <w:szCs w:val="24"/>
                      <w:lang w:eastAsia="es-CO"/>
                    </w:rPr>
                    <w:t>:</w:t>
                  </w:r>
                </w:p>
              </w:tc>
              <w:tc>
                <w:tcPr>
                  <w:tcW w:w="0" w:type="auto"/>
                  <w:vAlign w:val="center"/>
                  <w:hideMark/>
                </w:tcPr>
                <w:p w:rsidR="00310AF0" w:rsidRPr="00310AF0" w:rsidRDefault="00310AF0" w:rsidP="00310AF0">
                  <w:pPr>
                    <w:jc w:val="both"/>
                    <w:rPr>
                      <w:rFonts w:ascii="Bookman Old Style" w:eastAsia="Times New Roman" w:hAnsi="Bookman Old Style" w:cs="Times New Roman"/>
                      <w:sz w:val="24"/>
                      <w:szCs w:val="24"/>
                      <w:lang w:eastAsia="es-CO"/>
                    </w:rPr>
                  </w:pPr>
                  <w:r w:rsidRPr="00310AF0">
                    <w:rPr>
                      <w:rFonts w:ascii="Bookman Old Style" w:eastAsia="Times New Roman" w:hAnsi="Bookman Old Style" w:cs="Times New Roman"/>
                      <w:sz w:val="24"/>
                      <w:szCs w:val="24"/>
                      <w:lang w:eastAsia="es-CO"/>
                    </w:rPr>
                    <w:t>ACCIÓN DE TUTELA - SEGUNDA INSTANCIA</w:t>
                  </w:r>
                </w:p>
              </w:tc>
            </w:tr>
            <w:tr w:rsidR="00310AF0" w:rsidRPr="00310AF0">
              <w:trPr>
                <w:tblCellSpacing w:w="15" w:type="dxa"/>
              </w:trPr>
              <w:tc>
                <w:tcPr>
                  <w:tcW w:w="3750" w:type="dxa"/>
                  <w:hideMark/>
                </w:tcPr>
                <w:p w:rsidR="00310AF0" w:rsidRPr="00310AF0" w:rsidRDefault="00310AF0" w:rsidP="00310AF0">
                  <w:pPr>
                    <w:rPr>
                      <w:rFonts w:ascii="Bookman Old Style" w:eastAsia="Times New Roman" w:hAnsi="Bookman Old Style" w:cs="Times New Roman"/>
                      <w:sz w:val="24"/>
                      <w:szCs w:val="24"/>
                      <w:lang w:eastAsia="es-CO"/>
                    </w:rPr>
                  </w:pPr>
                  <w:r w:rsidRPr="00310AF0">
                    <w:rPr>
                      <w:rFonts w:ascii="Bookman Old Style" w:eastAsia="Times New Roman" w:hAnsi="Bookman Old Style" w:cs="Times New Roman"/>
                      <w:b/>
                      <w:bCs/>
                      <w:color w:val="7D3B05"/>
                      <w:sz w:val="24"/>
                      <w:szCs w:val="24"/>
                      <w:lang w:eastAsia="es-CO"/>
                    </w:rPr>
                    <w:t>TIPO DE PROVIDENCIA</w:t>
                  </w:r>
                </w:p>
              </w:tc>
              <w:tc>
                <w:tcPr>
                  <w:tcW w:w="75" w:type="dxa"/>
                  <w:hideMark/>
                </w:tcPr>
                <w:p w:rsidR="00310AF0" w:rsidRPr="00310AF0" w:rsidRDefault="00310AF0" w:rsidP="00310AF0">
                  <w:pPr>
                    <w:rPr>
                      <w:rFonts w:ascii="Bookman Old Style" w:eastAsia="Times New Roman" w:hAnsi="Bookman Old Style" w:cs="Times New Roman"/>
                      <w:sz w:val="24"/>
                      <w:szCs w:val="24"/>
                      <w:lang w:eastAsia="es-CO"/>
                    </w:rPr>
                  </w:pPr>
                  <w:r w:rsidRPr="00310AF0">
                    <w:rPr>
                      <w:rFonts w:ascii="Bookman Old Style" w:eastAsia="Times New Roman" w:hAnsi="Bookman Old Style" w:cs="Times New Roman"/>
                      <w:sz w:val="24"/>
                      <w:szCs w:val="24"/>
                      <w:lang w:eastAsia="es-CO"/>
                    </w:rPr>
                    <w:t>:</w:t>
                  </w:r>
                </w:p>
              </w:tc>
              <w:tc>
                <w:tcPr>
                  <w:tcW w:w="0" w:type="auto"/>
                  <w:vAlign w:val="center"/>
                  <w:hideMark/>
                </w:tcPr>
                <w:p w:rsidR="00310AF0" w:rsidRPr="00310AF0" w:rsidRDefault="00310AF0" w:rsidP="00310AF0">
                  <w:pPr>
                    <w:jc w:val="both"/>
                    <w:rPr>
                      <w:rFonts w:ascii="Bookman Old Style" w:eastAsia="Times New Roman" w:hAnsi="Bookman Old Style" w:cs="Times New Roman"/>
                      <w:sz w:val="24"/>
                      <w:szCs w:val="24"/>
                      <w:lang w:eastAsia="es-CO"/>
                    </w:rPr>
                  </w:pPr>
                  <w:r w:rsidRPr="00310AF0">
                    <w:rPr>
                      <w:rFonts w:ascii="Bookman Old Style" w:eastAsia="Times New Roman" w:hAnsi="Bookman Old Style" w:cs="Times New Roman"/>
                      <w:sz w:val="24"/>
                      <w:szCs w:val="24"/>
                      <w:lang w:eastAsia="es-CO"/>
                    </w:rPr>
                    <w:t>SENTENCIA</w:t>
                  </w:r>
                </w:p>
              </w:tc>
            </w:tr>
            <w:tr w:rsidR="00310AF0" w:rsidRPr="00310AF0">
              <w:trPr>
                <w:tblCellSpacing w:w="15" w:type="dxa"/>
              </w:trPr>
              <w:tc>
                <w:tcPr>
                  <w:tcW w:w="3750" w:type="dxa"/>
                  <w:hideMark/>
                </w:tcPr>
                <w:p w:rsidR="00310AF0" w:rsidRPr="00310AF0" w:rsidRDefault="00310AF0" w:rsidP="00310AF0">
                  <w:pPr>
                    <w:rPr>
                      <w:rFonts w:ascii="Bookman Old Style" w:eastAsia="Times New Roman" w:hAnsi="Bookman Old Style" w:cs="Times New Roman"/>
                      <w:sz w:val="24"/>
                      <w:szCs w:val="24"/>
                      <w:lang w:eastAsia="es-CO"/>
                    </w:rPr>
                  </w:pPr>
                  <w:r w:rsidRPr="00310AF0">
                    <w:rPr>
                      <w:rFonts w:ascii="Bookman Old Style" w:eastAsia="Times New Roman" w:hAnsi="Bookman Old Style" w:cs="Times New Roman"/>
                      <w:b/>
                      <w:bCs/>
                      <w:color w:val="7D3B05"/>
                      <w:sz w:val="24"/>
                      <w:szCs w:val="24"/>
                      <w:lang w:eastAsia="es-CO"/>
                    </w:rPr>
                    <w:t>FECHA</w:t>
                  </w:r>
                </w:p>
              </w:tc>
              <w:tc>
                <w:tcPr>
                  <w:tcW w:w="75" w:type="dxa"/>
                  <w:hideMark/>
                </w:tcPr>
                <w:p w:rsidR="00310AF0" w:rsidRPr="00310AF0" w:rsidRDefault="00310AF0" w:rsidP="00310AF0">
                  <w:pPr>
                    <w:rPr>
                      <w:rFonts w:ascii="Bookman Old Style" w:eastAsia="Times New Roman" w:hAnsi="Bookman Old Style" w:cs="Times New Roman"/>
                      <w:sz w:val="24"/>
                      <w:szCs w:val="24"/>
                      <w:lang w:eastAsia="es-CO"/>
                    </w:rPr>
                  </w:pPr>
                  <w:r w:rsidRPr="00310AF0">
                    <w:rPr>
                      <w:rFonts w:ascii="Bookman Old Style" w:eastAsia="Times New Roman" w:hAnsi="Bookman Old Style" w:cs="Times New Roman"/>
                      <w:sz w:val="24"/>
                      <w:szCs w:val="24"/>
                      <w:lang w:eastAsia="es-CO"/>
                    </w:rPr>
                    <w:t>:</w:t>
                  </w:r>
                </w:p>
              </w:tc>
              <w:tc>
                <w:tcPr>
                  <w:tcW w:w="0" w:type="auto"/>
                  <w:vAlign w:val="center"/>
                  <w:hideMark/>
                </w:tcPr>
                <w:p w:rsidR="00310AF0" w:rsidRPr="00310AF0" w:rsidRDefault="00310AF0" w:rsidP="00310AF0">
                  <w:pPr>
                    <w:jc w:val="both"/>
                    <w:rPr>
                      <w:rFonts w:ascii="Bookman Old Style" w:eastAsia="Times New Roman" w:hAnsi="Bookman Old Style" w:cs="Times New Roman"/>
                      <w:sz w:val="24"/>
                      <w:szCs w:val="24"/>
                      <w:lang w:eastAsia="es-CO"/>
                    </w:rPr>
                  </w:pPr>
                  <w:r w:rsidRPr="00310AF0">
                    <w:rPr>
                      <w:rFonts w:ascii="Bookman Old Style" w:eastAsia="Times New Roman" w:hAnsi="Bookman Old Style" w:cs="Times New Roman"/>
                      <w:sz w:val="24"/>
                      <w:szCs w:val="24"/>
                      <w:lang w:eastAsia="es-CO"/>
                    </w:rPr>
                    <w:t>11/07/2024</w:t>
                  </w:r>
                </w:p>
              </w:tc>
            </w:tr>
            <w:tr w:rsidR="00310AF0" w:rsidRPr="00310AF0">
              <w:trPr>
                <w:tblCellSpacing w:w="15" w:type="dxa"/>
              </w:trPr>
              <w:tc>
                <w:tcPr>
                  <w:tcW w:w="3750" w:type="dxa"/>
                  <w:hideMark/>
                </w:tcPr>
                <w:p w:rsidR="00310AF0" w:rsidRPr="00310AF0" w:rsidRDefault="00310AF0" w:rsidP="00310AF0">
                  <w:pPr>
                    <w:rPr>
                      <w:rFonts w:ascii="Bookman Old Style" w:eastAsia="Times New Roman" w:hAnsi="Bookman Old Style" w:cs="Times New Roman"/>
                      <w:sz w:val="24"/>
                      <w:szCs w:val="24"/>
                      <w:lang w:eastAsia="es-CO"/>
                    </w:rPr>
                  </w:pPr>
                  <w:r w:rsidRPr="00310AF0">
                    <w:rPr>
                      <w:rFonts w:ascii="Bookman Old Style" w:eastAsia="Times New Roman" w:hAnsi="Bookman Old Style" w:cs="Times New Roman"/>
                      <w:b/>
                      <w:bCs/>
                      <w:color w:val="7D3B05"/>
                      <w:sz w:val="24"/>
                      <w:szCs w:val="24"/>
                      <w:lang w:eastAsia="es-CO"/>
                    </w:rPr>
                    <w:t>DECISIÓN</w:t>
                  </w:r>
                </w:p>
              </w:tc>
              <w:tc>
                <w:tcPr>
                  <w:tcW w:w="75" w:type="dxa"/>
                  <w:hideMark/>
                </w:tcPr>
                <w:p w:rsidR="00310AF0" w:rsidRPr="00310AF0" w:rsidRDefault="00310AF0" w:rsidP="00310AF0">
                  <w:pPr>
                    <w:rPr>
                      <w:rFonts w:ascii="Bookman Old Style" w:eastAsia="Times New Roman" w:hAnsi="Bookman Old Style" w:cs="Times New Roman"/>
                      <w:sz w:val="24"/>
                      <w:szCs w:val="24"/>
                      <w:lang w:eastAsia="es-CO"/>
                    </w:rPr>
                  </w:pPr>
                  <w:r w:rsidRPr="00310AF0">
                    <w:rPr>
                      <w:rFonts w:ascii="Bookman Old Style" w:eastAsia="Times New Roman" w:hAnsi="Bookman Old Style" w:cs="Times New Roman"/>
                      <w:sz w:val="24"/>
                      <w:szCs w:val="24"/>
                      <w:lang w:eastAsia="es-CO"/>
                    </w:rPr>
                    <w:t>:</w:t>
                  </w:r>
                </w:p>
              </w:tc>
              <w:tc>
                <w:tcPr>
                  <w:tcW w:w="0" w:type="auto"/>
                  <w:vAlign w:val="center"/>
                  <w:hideMark/>
                </w:tcPr>
                <w:p w:rsidR="00310AF0" w:rsidRPr="00310AF0" w:rsidRDefault="00310AF0" w:rsidP="00310AF0">
                  <w:pPr>
                    <w:jc w:val="both"/>
                    <w:rPr>
                      <w:rFonts w:ascii="Bookman Old Style" w:eastAsia="Times New Roman" w:hAnsi="Bookman Old Style" w:cs="Times New Roman"/>
                      <w:sz w:val="24"/>
                      <w:szCs w:val="24"/>
                      <w:lang w:eastAsia="es-CO"/>
                    </w:rPr>
                  </w:pPr>
                  <w:r w:rsidRPr="00310AF0">
                    <w:rPr>
                      <w:rFonts w:ascii="Bookman Old Style" w:eastAsia="Times New Roman" w:hAnsi="Bookman Old Style" w:cs="Times New Roman"/>
                      <w:sz w:val="24"/>
                      <w:szCs w:val="24"/>
                      <w:lang w:eastAsia="es-CO"/>
                    </w:rPr>
                    <w:t>CONFIRMA CONCEDE TUTELA</w:t>
                  </w:r>
                </w:p>
              </w:tc>
            </w:tr>
            <w:tr w:rsidR="00310AF0" w:rsidRPr="00310AF0">
              <w:trPr>
                <w:tblCellSpacing w:w="15" w:type="dxa"/>
              </w:trPr>
              <w:tc>
                <w:tcPr>
                  <w:tcW w:w="3750" w:type="dxa"/>
                  <w:hideMark/>
                </w:tcPr>
                <w:p w:rsidR="00310AF0" w:rsidRPr="00310AF0" w:rsidRDefault="00310AF0" w:rsidP="00310AF0">
                  <w:pPr>
                    <w:rPr>
                      <w:rFonts w:ascii="Bookman Old Style" w:eastAsia="Times New Roman" w:hAnsi="Bookman Old Style" w:cs="Times New Roman"/>
                      <w:sz w:val="24"/>
                      <w:szCs w:val="24"/>
                      <w:lang w:eastAsia="es-CO"/>
                    </w:rPr>
                  </w:pPr>
                  <w:r w:rsidRPr="00310AF0">
                    <w:rPr>
                      <w:rFonts w:ascii="Bookman Old Style" w:eastAsia="Times New Roman" w:hAnsi="Bookman Old Style" w:cs="Times New Roman"/>
                      <w:b/>
                      <w:bCs/>
                      <w:color w:val="7D3B05"/>
                      <w:sz w:val="24"/>
                      <w:szCs w:val="24"/>
                      <w:lang w:eastAsia="es-CO"/>
                    </w:rPr>
                    <w:t>ACCIONADO</w:t>
                  </w:r>
                </w:p>
              </w:tc>
              <w:tc>
                <w:tcPr>
                  <w:tcW w:w="75" w:type="dxa"/>
                  <w:hideMark/>
                </w:tcPr>
                <w:p w:rsidR="00310AF0" w:rsidRPr="00310AF0" w:rsidRDefault="00310AF0" w:rsidP="00310AF0">
                  <w:pPr>
                    <w:rPr>
                      <w:rFonts w:ascii="Bookman Old Style" w:eastAsia="Times New Roman" w:hAnsi="Bookman Old Style" w:cs="Times New Roman"/>
                      <w:sz w:val="24"/>
                      <w:szCs w:val="24"/>
                      <w:lang w:eastAsia="es-CO"/>
                    </w:rPr>
                  </w:pPr>
                  <w:r w:rsidRPr="00310AF0">
                    <w:rPr>
                      <w:rFonts w:ascii="Bookman Old Style" w:eastAsia="Times New Roman" w:hAnsi="Bookman Old Style" w:cs="Times New Roman"/>
                      <w:sz w:val="24"/>
                      <w:szCs w:val="24"/>
                      <w:lang w:eastAsia="es-CO"/>
                    </w:rPr>
                    <w:t>:</w:t>
                  </w:r>
                </w:p>
              </w:tc>
              <w:tc>
                <w:tcPr>
                  <w:tcW w:w="0" w:type="auto"/>
                  <w:vAlign w:val="center"/>
                  <w:hideMark/>
                </w:tcPr>
                <w:p w:rsidR="00310AF0" w:rsidRPr="00310AF0" w:rsidRDefault="00310AF0" w:rsidP="00310AF0">
                  <w:pPr>
                    <w:jc w:val="both"/>
                    <w:rPr>
                      <w:rFonts w:ascii="Bookman Old Style" w:eastAsia="Times New Roman" w:hAnsi="Bookman Old Style" w:cs="Times New Roman"/>
                      <w:sz w:val="24"/>
                      <w:szCs w:val="24"/>
                      <w:lang w:eastAsia="es-CO"/>
                    </w:rPr>
                  </w:pPr>
                  <w:r w:rsidRPr="00310AF0">
                    <w:rPr>
                      <w:rFonts w:ascii="Bookman Old Style" w:eastAsia="Times New Roman" w:hAnsi="Bookman Old Style" w:cs="Times New Roman"/>
                      <w:sz w:val="24"/>
                      <w:szCs w:val="24"/>
                      <w:lang w:eastAsia="es-CO"/>
                    </w:rPr>
                    <w:t>COMISIÓN SECCIONAL DEL DISCIPLINA JUDICIAL DE BOGOTÁ</w:t>
                  </w:r>
                </w:p>
              </w:tc>
            </w:tr>
            <w:tr w:rsidR="00310AF0" w:rsidRPr="00310AF0">
              <w:trPr>
                <w:tblCellSpacing w:w="15" w:type="dxa"/>
              </w:trPr>
              <w:tc>
                <w:tcPr>
                  <w:tcW w:w="3750" w:type="dxa"/>
                  <w:hideMark/>
                </w:tcPr>
                <w:p w:rsidR="00310AF0" w:rsidRPr="00310AF0" w:rsidRDefault="00310AF0" w:rsidP="00310AF0">
                  <w:pPr>
                    <w:rPr>
                      <w:rFonts w:ascii="Bookman Old Style" w:eastAsia="Times New Roman" w:hAnsi="Bookman Old Style" w:cs="Times New Roman"/>
                      <w:sz w:val="24"/>
                      <w:szCs w:val="24"/>
                      <w:lang w:eastAsia="es-CO"/>
                    </w:rPr>
                  </w:pPr>
                  <w:r w:rsidRPr="00310AF0">
                    <w:rPr>
                      <w:rFonts w:ascii="Bookman Old Style" w:eastAsia="Times New Roman" w:hAnsi="Bookman Old Style" w:cs="Times New Roman"/>
                      <w:b/>
                      <w:bCs/>
                      <w:color w:val="7D3B05"/>
                      <w:sz w:val="24"/>
                      <w:szCs w:val="24"/>
                      <w:lang w:eastAsia="es-CO"/>
                    </w:rPr>
                    <w:t>ACCIONANTE</w:t>
                  </w:r>
                </w:p>
              </w:tc>
              <w:tc>
                <w:tcPr>
                  <w:tcW w:w="75" w:type="dxa"/>
                  <w:hideMark/>
                </w:tcPr>
                <w:p w:rsidR="00310AF0" w:rsidRPr="00310AF0" w:rsidRDefault="00310AF0" w:rsidP="00310AF0">
                  <w:pPr>
                    <w:rPr>
                      <w:rFonts w:ascii="Bookman Old Style" w:eastAsia="Times New Roman" w:hAnsi="Bookman Old Style" w:cs="Times New Roman"/>
                      <w:sz w:val="24"/>
                      <w:szCs w:val="24"/>
                      <w:lang w:eastAsia="es-CO"/>
                    </w:rPr>
                  </w:pPr>
                  <w:r w:rsidRPr="00310AF0">
                    <w:rPr>
                      <w:rFonts w:ascii="Bookman Old Style" w:eastAsia="Times New Roman" w:hAnsi="Bookman Old Style" w:cs="Times New Roman"/>
                      <w:sz w:val="24"/>
                      <w:szCs w:val="24"/>
                      <w:lang w:eastAsia="es-CO"/>
                    </w:rPr>
                    <w:t>:</w:t>
                  </w:r>
                </w:p>
              </w:tc>
              <w:tc>
                <w:tcPr>
                  <w:tcW w:w="0" w:type="auto"/>
                  <w:vAlign w:val="center"/>
                  <w:hideMark/>
                </w:tcPr>
                <w:p w:rsidR="00310AF0" w:rsidRPr="00310AF0" w:rsidRDefault="00310AF0" w:rsidP="00310AF0">
                  <w:pPr>
                    <w:jc w:val="both"/>
                    <w:rPr>
                      <w:rFonts w:ascii="Bookman Old Style" w:eastAsia="Times New Roman" w:hAnsi="Bookman Old Style" w:cs="Times New Roman"/>
                      <w:sz w:val="24"/>
                      <w:szCs w:val="24"/>
                      <w:lang w:eastAsia="es-CO"/>
                    </w:rPr>
                  </w:pPr>
                  <w:r w:rsidRPr="00310AF0">
                    <w:rPr>
                      <w:rFonts w:ascii="Bookman Old Style" w:eastAsia="Times New Roman" w:hAnsi="Bookman Old Style" w:cs="Times New Roman"/>
                      <w:sz w:val="24"/>
                      <w:szCs w:val="24"/>
                      <w:lang w:eastAsia="es-CO"/>
                    </w:rPr>
                    <w:t>INVERSORA Y PROMOTORA GERONA S.A.</w:t>
                  </w:r>
                </w:p>
              </w:tc>
            </w:tr>
            <w:tr w:rsidR="00310AF0" w:rsidRPr="00310AF0">
              <w:trPr>
                <w:tblCellSpacing w:w="15" w:type="dxa"/>
              </w:trPr>
              <w:tc>
                <w:tcPr>
                  <w:tcW w:w="3750" w:type="dxa"/>
                  <w:hideMark/>
                </w:tcPr>
                <w:p w:rsidR="00310AF0" w:rsidRPr="00310AF0" w:rsidRDefault="00310AF0" w:rsidP="00310AF0">
                  <w:pPr>
                    <w:rPr>
                      <w:rFonts w:ascii="Bookman Old Style" w:eastAsia="Times New Roman" w:hAnsi="Bookman Old Style" w:cs="Times New Roman"/>
                      <w:sz w:val="24"/>
                      <w:szCs w:val="24"/>
                      <w:lang w:eastAsia="es-CO"/>
                    </w:rPr>
                  </w:pPr>
                  <w:r w:rsidRPr="00310AF0">
                    <w:rPr>
                      <w:rFonts w:ascii="Bookman Old Style" w:eastAsia="Times New Roman" w:hAnsi="Bookman Old Style" w:cs="Times New Roman"/>
                      <w:b/>
                      <w:bCs/>
                      <w:color w:val="7D3B05"/>
                      <w:sz w:val="24"/>
                      <w:szCs w:val="24"/>
                      <w:lang w:eastAsia="es-CO"/>
                    </w:rPr>
                    <w:t>FUENTE FORMAL</w:t>
                  </w:r>
                </w:p>
              </w:tc>
              <w:tc>
                <w:tcPr>
                  <w:tcW w:w="75" w:type="dxa"/>
                  <w:hideMark/>
                </w:tcPr>
                <w:p w:rsidR="00310AF0" w:rsidRPr="00310AF0" w:rsidRDefault="00310AF0" w:rsidP="00310AF0">
                  <w:pPr>
                    <w:rPr>
                      <w:rFonts w:ascii="Bookman Old Style" w:eastAsia="Times New Roman" w:hAnsi="Bookman Old Style" w:cs="Times New Roman"/>
                      <w:sz w:val="24"/>
                      <w:szCs w:val="24"/>
                      <w:lang w:eastAsia="es-CO"/>
                    </w:rPr>
                  </w:pPr>
                  <w:r w:rsidRPr="00310AF0">
                    <w:rPr>
                      <w:rFonts w:ascii="Bookman Old Style" w:eastAsia="Times New Roman" w:hAnsi="Bookman Old Style" w:cs="Times New Roman"/>
                      <w:sz w:val="24"/>
                      <w:szCs w:val="24"/>
                      <w:lang w:eastAsia="es-CO"/>
                    </w:rPr>
                    <w:t>:</w:t>
                  </w:r>
                </w:p>
              </w:tc>
              <w:tc>
                <w:tcPr>
                  <w:tcW w:w="0" w:type="auto"/>
                  <w:vAlign w:val="center"/>
                  <w:hideMark/>
                </w:tcPr>
                <w:p w:rsidR="00310AF0" w:rsidRPr="00310AF0" w:rsidRDefault="00310AF0" w:rsidP="00310AF0">
                  <w:pPr>
                    <w:jc w:val="both"/>
                    <w:rPr>
                      <w:rFonts w:ascii="Bookman Old Style" w:eastAsia="Times New Roman" w:hAnsi="Bookman Old Style" w:cs="Times New Roman"/>
                      <w:sz w:val="24"/>
                      <w:szCs w:val="24"/>
                      <w:lang w:eastAsia="es-CO"/>
                    </w:rPr>
                  </w:pPr>
                  <w:r w:rsidRPr="00310AF0">
                    <w:rPr>
                      <w:rFonts w:ascii="Bookman Old Style" w:eastAsia="Times New Roman" w:hAnsi="Bookman Old Style" w:cs="Times New Roman"/>
                      <w:sz w:val="24"/>
                      <w:szCs w:val="24"/>
                      <w:lang w:eastAsia="es-CO"/>
                    </w:rPr>
                    <w:t>Código Disciplinario del Abogado art. 65, 66</w:t>
                  </w:r>
                </w:p>
              </w:tc>
            </w:tr>
          </w:tbl>
          <w:p w:rsidR="00310AF0" w:rsidRPr="00310AF0" w:rsidRDefault="00310AF0" w:rsidP="00310AF0">
            <w:pPr>
              <w:rPr>
                <w:rFonts w:ascii="Bookman Old Style" w:eastAsia="Times New Roman" w:hAnsi="Bookman Old Style" w:cs="Times New Roman"/>
                <w:sz w:val="24"/>
                <w:szCs w:val="24"/>
                <w:lang w:eastAsia="es-CO"/>
              </w:rPr>
            </w:pPr>
          </w:p>
        </w:tc>
      </w:tr>
    </w:tbl>
    <w:p w:rsidR="00310AF0" w:rsidRPr="00310AF0" w:rsidRDefault="00310AF0" w:rsidP="00310AF0">
      <w:pPr>
        <w:jc w:val="both"/>
        <w:rPr>
          <w:rFonts w:ascii="Bookman Old Style" w:eastAsia="Times New Roman" w:hAnsi="Bookman Old Style" w:cs="Times New Roman"/>
          <w:vanish/>
          <w:color w:val="000000"/>
          <w:sz w:val="24"/>
          <w:szCs w:val="24"/>
          <w:lang w:eastAsia="es-CO"/>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824"/>
      </w:tblGrid>
      <w:tr w:rsidR="00310AF0" w:rsidRPr="00310AF0" w:rsidTr="00310AF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10AF0" w:rsidRPr="00310AF0" w:rsidRDefault="00310AF0" w:rsidP="00310AF0">
            <w:pPr>
              <w:rPr>
                <w:rFonts w:ascii="Bookman Old Style" w:eastAsia="Times New Roman" w:hAnsi="Bookman Old Style" w:cs="Times New Roman"/>
                <w:sz w:val="24"/>
                <w:szCs w:val="24"/>
                <w:lang w:eastAsia="es-CO"/>
              </w:rPr>
            </w:pPr>
          </w:p>
          <w:p w:rsidR="00310AF0" w:rsidRPr="00310AF0" w:rsidRDefault="00310AF0" w:rsidP="00310AF0">
            <w:pPr>
              <w:rPr>
                <w:rFonts w:ascii="Bookman Old Style" w:eastAsia="Times New Roman" w:hAnsi="Bookman Old Style" w:cs="Times New Roman"/>
                <w:sz w:val="24"/>
                <w:szCs w:val="24"/>
                <w:lang w:eastAsia="es-CO"/>
              </w:rPr>
            </w:pPr>
            <w:r w:rsidRPr="00310AF0">
              <w:rPr>
                <w:rFonts w:ascii="Bookman Old Style" w:eastAsia="Times New Roman" w:hAnsi="Bookman Old Style" w:cs="Times New Roman"/>
                <w:b/>
                <w:bCs/>
                <w:color w:val="7D3B05"/>
                <w:sz w:val="24"/>
                <w:szCs w:val="24"/>
                <w:lang w:eastAsia="es-CO"/>
              </w:rPr>
              <w:t>ASUNTO:</w:t>
            </w:r>
          </w:p>
          <w:p w:rsidR="00310AF0" w:rsidRDefault="00310AF0" w:rsidP="00310AF0">
            <w:pPr>
              <w:jc w:val="both"/>
              <w:rPr>
                <w:rFonts w:ascii="Bookman Old Style" w:eastAsia="Times New Roman" w:hAnsi="Bookman Old Style" w:cs="Times New Roman"/>
                <w:sz w:val="24"/>
                <w:szCs w:val="24"/>
                <w:lang w:eastAsia="es-CO"/>
              </w:rPr>
            </w:pPr>
            <w:r w:rsidRPr="00310AF0">
              <w:rPr>
                <w:rFonts w:ascii="Bookman Old Style" w:eastAsia="Times New Roman" w:hAnsi="Bookman Old Style" w:cs="Times New Roman"/>
                <w:sz w:val="24"/>
                <w:szCs w:val="24"/>
                <w:lang w:eastAsia="es-CO"/>
              </w:rPr>
              <w:t xml:space="preserve">SUPUESTOS FÁCTICOS: </w:t>
            </w:r>
          </w:p>
          <w:p w:rsidR="00310AF0" w:rsidRDefault="00310AF0" w:rsidP="00310AF0">
            <w:pPr>
              <w:jc w:val="both"/>
              <w:rPr>
                <w:rFonts w:ascii="Bookman Old Style" w:eastAsia="Times New Roman" w:hAnsi="Bookman Old Style" w:cs="Times New Roman"/>
                <w:sz w:val="24"/>
                <w:szCs w:val="24"/>
                <w:lang w:eastAsia="es-CO"/>
              </w:rPr>
            </w:pPr>
          </w:p>
          <w:p w:rsidR="00310AF0" w:rsidRDefault="00310AF0" w:rsidP="00310AF0">
            <w:pPr>
              <w:jc w:val="both"/>
              <w:rPr>
                <w:rFonts w:ascii="Bookman Old Style" w:eastAsia="Times New Roman" w:hAnsi="Bookman Old Style" w:cs="Times New Roman"/>
                <w:sz w:val="24"/>
                <w:szCs w:val="24"/>
                <w:lang w:eastAsia="es-CO"/>
              </w:rPr>
            </w:pPr>
            <w:r w:rsidRPr="00310AF0">
              <w:rPr>
                <w:rFonts w:ascii="Bookman Old Style" w:eastAsia="Times New Roman" w:hAnsi="Bookman Old Style" w:cs="Times New Roman"/>
                <w:sz w:val="24"/>
                <w:szCs w:val="24"/>
                <w:lang w:eastAsia="es-CO"/>
              </w:rPr>
              <w:t xml:space="preserve">La sociedad accionante presentó queja disciplinaria en contra del abogado Carlos </w:t>
            </w:r>
            <w:proofErr w:type="spellStart"/>
            <w:r w:rsidRPr="00310AF0">
              <w:rPr>
                <w:rFonts w:ascii="Bookman Old Style" w:eastAsia="Times New Roman" w:hAnsi="Bookman Old Style" w:cs="Times New Roman"/>
                <w:sz w:val="24"/>
                <w:szCs w:val="24"/>
                <w:lang w:eastAsia="es-CO"/>
              </w:rPr>
              <w:t>Adner</w:t>
            </w:r>
            <w:proofErr w:type="spellEnd"/>
            <w:r w:rsidRPr="00310AF0">
              <w:rPr>
                <w:rFonts w:ascii="Bookman Old Style" w:eastAsia="Times New Roman" w:hAnsi="Bookman Old Style" w:cs="Times New Roman"/>
                <w:sz w:val="24"/>
                <w:szCs w:val="24"/>
                <w:lang w:eastAsia="es-CO"/>
              </w:rPr>
              <w:t xml:space="preserve"> Viveros Díaz por la comisión de las faltas contenidas en los numerales 9 y 11 del artículo 33 de la Ley 1123 de 2007, por haber utilizado presuntamente, un poder falso con el fin de entregar a un tercero un depósito judicial expedido por el IDU, cuyas sumas que correspondían a la accionante por concepto de la indemnización de la expropiación de un inmueble. </w:t>
            </w:r>
          </w:p>
          <w:p w:rsidR="00310AF0" w:rsidRDefault="00310AF0" w:rsidP="00310AF0">
            <w:pPr>
              <w:jc w:val="both"/>
              <w:rPr>
                <w:rFonts w:ascii="Bookman Old Style" w:eastAsia="Times New Roman" w:hAnsi="Bookman Old Style" w:cs="Times New Roman"/>
                <w:sz w:val="24"/>
                <w:szCs w:val="24"/>
                <w:lang w:eastAsia="es-CO"/>
              </w:rPr>
            </w:pPr>
          </w:p>
          <w:p w:rsidR="00310AF0" w:rsidRDefault="00310AF0" w:rsidP="00310AF0">
            <w:pPr>
              <w:jc w:val="both"/>
              <w:rPr>
                <w:rFonts w:ascii="Bookman Old Style" w:eastAsia="Times New Roman" w:hAnsi="Bookman Old Style" w:cs="Times New Roman"/>
                <w:sz w:val="24"/>
                <w:szCs w:val="24"/>
                <w:lang w:eastAsia="es-CO"/>
              </w:rPr>
            </w:pPr>
            <w:r w:rsidRPr="00310AF0">
              <w:rPr>
                <w:rFonts w:ascii="Bookman Old Style" w:eastAsia="Times New Roman" w:hAnsi="Bookman Old Style" w:cs="Times New Roman"/>
                <w:sz w:val="24"/>
                <w:szCs w:val="24"/>
                <w:lang w:eastAsia="es-CO"/>
              </w:rPr>
              <w:t xml:space="preserve">El 20 de noviembre de 2023, la Comisión Seccional de Disciplina Judicial de Bogotá absolvió disciplinariamente al abogado, pese a que la sociedad accionante presentó pruebas periciales sobre la falsedad de documentos utilizados para la entrega del depósito judicial. </w:t>
            </w:r>
          </w:p>
          <w:p w:rsidR="00310AF0" w:rsidRDefault="00310AF0" w:rsidP="00310AF0">
            <w:pPr>
              <w:jc w:val="both"/>
              <w:rPr>
                <w:rFonts w:ascii="Bookman Old Style" w:eastAsia="Times New Roman" w:hAnsi="Bookman Old Style" w:cs="Times New Roman"/>
                <w:sz w:val="24"/>
                <w:szCs w:val="24"/>
                <w:lang w:eastAsia="es-CO"/>
              </w:rPr>
            </w:pPr>
          </w:p>
          <w:p w:rsidR="00310AF0" w:rsidRDefault="00310AF0" w:rsidP="00310AF0">
            <w:pPr>
              <w:jc w:val="both"/>
              <w:rPr>
                <w:rFonts w:ascii="Bookman Old Style" w:eastAsia="Times New Roman" w:hAnsi="Bookman Old Style" w:cs="Times New Roman"/>
                <w:sz w:val="24"/>
                <w:szCs w:val="24"/>
                <w:lang w:eastAsia="es-CO"/>
              </w:rPr>
            </w:pPr>
            <w:r w:rsidRPr="00310AF0">
              <w:rPr>
                <w:rFonts w:ascii="Bookman Old Style" w:eastAsia="Times New Roman" w:hAnsi="Bookman Old Style" w:cs="Times New Roman"/>
                <w:sz w:val="24"/>
                <w:szCs w:val="24"/>
                <w:lang w:eastAsia="es-CO"/>
              </w:rPr>
              <w:lastRenderedPageBreak/>
              <w:t xml:space="preserve">Frente a dicha decisión la quejosa interpuso recurso de reposición y en subsidio apelación, pero fueron rechazados de plano por falta de legitimación en la causa. </w:t>
            </w:r>
          </w:p>
          <w:p w:rsidR="00310AF0" w:rsidRDefault="00310AF0" w:rsidP="00310AF0">
            <w:pPr>
              <w:jc w:val="both"/>
              <w:rPr>
                <w:rFonts w:ascii="Bookman Old Style" w:eastAsia="Times New Roman" w:hAnsi="Bookman Old Style" w:cs="Times New Roman"/>
                <w:sz w:val="24"/>
                <w:szCs w:val="24"/>
                <w:lang w:eastAsia="es-CO"/>
              </w:rPr>
            </w:pPr>
          </w:p>
          <w:p w:rsidR="00310AF0" w:rsidRDefault="00310AF0" w:rsidP="00310AF0">
            <w:pPr>
              <w:jc w:val="both"/>
              <w:rPr>
                <w:rFonts w:ascii="Bookman Old Style" w:eastAsia="Times New Roman" w:hAnsi="Bookman Old Style" w:cs="Times New Roman"/>
                <w:sz w:val="24"/>
                <w:szCs w:val="24"/>
                <w:lang w:eastAsia="es-CO"/>
              </w:rPr>
            </w:pPr>
            <w:r w:rsidRPr="00310AF0">
              <w:rPr>
                <w:rFonts w:ascii="Bookman Old Style" w:eastAsia="Times New Roman" w:hAnsi="Bookman Old Style" w:cs="Times New Roman"/>
                <w:sz w:val="24"/>
                <w:szCs w:val="24"/>
                <w:lang w:eastAsia="es-CO"/>
              </w:rPr>
              <w:t xml:space="preserve">Por lo anterior, la Sociedad Inversora y Promotora Gerona S.A. instauró acción de tutela contra la decisión de la Comisión Seccional de Disciplina Judicial porque consideró vulnerados sus derechos fundamentales al debido proceso y el de acceso a la administración de justicia. Solicitó que se dicte una nueva sentencia en la que se estudie la totalidad de las pruebas aportadas y se le reconozca su legitimidad dentro de la acción disciplinaria. </w:t>
            </w:r>
          </w:p>
          <w:p w:rsidR="00310AF0" w:rsidRDefault="00310AF0" w:rsidP="00310AF0">
            <w:pPr>
              <w:jc w:val="both"/>
              <w:rPr>
                <w:rFonts w:ascii="Bookman Old Style" w:eastAsia="Times New Roman" w:hAnsi="Bookman Old Style" w:cs="Times New Roman"/>
                <w:sz w:val="24"/>
                <w:szCs w:val="24"/>
                <w:lang w:eastAsia="es-CO"/>
              </w:rPr>
            </w:pPr>
          </w:p>
          <w:p w:rsidR="00310AF0" w:rsidRDefault="00310AF0" w:rsidP="00310AF0">
            <w:pPr>
              <w:jc w:val="both"/>
              <w:rPr>
                <w:rFonts w:ascii="Bookman Old Style" w:eastAsia="Times New Roman" w:hAnsi="Bookman Old Style" w:cs="Times New Roman"/>
                <w:sz w:val="24"/>
                <w:szCs w:val="24"/>
                <w:lang w:eastAsia="es-CO"/>
              </w:rPr>
            </w:pPr>
            <w:r w:rsidRPr="00310AF0">
              <w:rPr>
                <w:rFonts w:ascii="Bookman Old Style" w:eastAsia="Times New Roman" w:hAnsi="Bookman Old Style" w:cs="Times New Roman"/>
                <w:sz w:val="24"/>
                <w:szCs w:val="24"/>
                <w:lang w:eastAsia="es-CO"/>
              </w:rPr>
              <w:t xml:space="preserve">PROBLEMA JURÍDICO: </w:t>
            </w:r>
          </w:p>
          <w:p w:rsidR="00310AF0" w:rsidRDefault="00310AF0" w:rsidP="00310AF0">
            <w:pPr>
              <w:jc w:val="both"/>
              <w:rPr>
                <w:rFonts w:ascii="Bookman Old Style" w:eastAsia="Times New Roman" w:hAnsi="Bookman Old Style" w:cs="Times New Roman"/>
                <w:sz w:val="24"/>
                <w:szCs w:val="24"/>
                <w:lang w:eastAsia="es-CO"/>
              </w:rPr>
            </w:pPr>
          </w:p>
          <w:p w:rsidR="00310AF0" w:rsidRPr="00310AF0" w:rsidRDefault="00310AF0" w:rsidP="00310AF0">
            <w:pPr>
              <w:jc w:val="both"/>
              <w:rPr>
                <w:rFonts w:ascii="Bookman Old Style" w:eastAsia="Times New Roman" w:hAnsi="Bookman Old Style" w:cs="Times New Roman"/>
                <w:sz w:val="24"/>
                <w:szCs w:val="24"/>
                <w:lang w:eastAsia="es-CO"/>
              </w:rPr>
            </w:pPr>
            <w:r w:rsidRPr="00310AF0">
              <w:rPr>
                <w:rFonts w:ascii="Bookman Old Style" w:eastAsia="Times New Roman" w:hAnsi="Bookman Old Style" w:cs="Times New Roman"/>
                <w:sz w:val="24"/>
                <w:szCs w:val="24"/>
                <w:lang w:eastAsia="es-CO"/>
              </w:rPr>
              <w:t xml:space="preserve">«(…) establecer si la Comisión Seccional de Disciplina Judicial de Bogotá, vulneró las prerrogativas invocadas por la sociedad accionante al no permitirle su intervención en el juicio disciplinario rad. 2022-04756 adelantado contra el abogado Carlos </w:t>
            </w:r>
            <w:proofErr w:type="spellStart"/>
            <w:r w:rsidRPr="00310AF0">
              <w:rPr>
                <w:rFonts w:ascii="Bookman Old Style" w:eastAsia="Times New Roman" w:hAnsi="Bookman Old Style" w:cs="Times New Roman"/>
                <w:sz w:val="24"/>
                <w:szCs w:val="24"/>
                <w:lang w:eastAsia="es-CO"/>
              </w:rPr>
              <w:t>Adner</w:t>
            </w:r>
            <w:proofErr w:type="spellEnd"/>
            <w:r w:rsidRPr="00310AF0">
              <w:rPr>
                <w:rFonts w:ascii="Bookman Old Style" w:eastAsia="Times New Roman" w:hAnsi="Bookman Old Style" w:cs="Times New Roman"/>
                <w:sz w:val="24"/>
                <w:szCs w:val="24"/>
                <w:lang w:eastAsia="es-CO"/>
              </w:rPr>
              <w:t xml:space="preserve"> Viveros Díaz, a través de la interposición de recursos contra la sentencia y al abstenerse de pronunciarse frente a la solicitud de nulidad que impetró»</w:t>
            </w:r>
          </w:p>
          <w:p w:rsidR="00310AF0" w:rsidRPr="00310AF0" w:rsidRDefault="00310AF0" w:rsidP="00310AF0">
            <w:pPr>
              <w:rPr>
                <w:rFonts w:ascii="Bookman Old Style" w:eastAsia="Times New Roman" w:hAnsi="Bookman Old Style" w:cs="Times New Roman"/>
                <w:sz w:val="24"/>
                <w:szCs w:val="24"/>
                <w:lang w:eastAsia="es-CO"/>
              </w:rPr>
            </w:pPr>
          </w:p>
        </w:tc>
      </w:tr>
    </w:tbl>
    <w:p w:rsidR="00310AF0" w:rsidRPr="00310AF0" w:rsidRDefault="00310AF0" w:rsidP="00310AF0">
      <w:pPr>
        <w:jc w:val="both"/>
        <w:rPr>
          <w:rFonts w:ascii="Bookman Old Style" w:eastAsia="Times New Roman" w:hAnsi="Bookman Old Style" w:cs="Times New Roman"/>
          <w:color w:val="000000"/>
          <w:sz w:val="24"/>
          <w:szCs w:val="24"/>
          <w:lang w:eastAsia="es-CO"/>
        </w:rPr>
      </w:pPr>
    </w:p>
    <w:p w:rsidR="00310AF0" w:rsidRPr="00310AF0" w:rsidRDefault="00310AF0" w:rsidP="00310AF0">
      <w:pPr>
        <w:jc w:val="both"/>
        <w:rPr>
          <w:rFonts w:ascii="Bookman Old Style" w:eastAsia="Times New Roman" w:hAnsi="Bookman Old Style" w:cs="Times New Roman"/>
          <w:color w:val="000000"/>
          <w:sz w:val="24"/>
          <w:szCs w:val="24"/>
          <w:lang w:eastAsia="es-CO"/>
        </w:rPr>
      </w:pPr>
      <w:r w:rsidRPr="00310AF0">
        <w:rPr>
          <w:rFonts w:ascii="Bookman Old Style" w:eastAsia="Times New Roman" w:hAnsi="Bookman Old Style" w:cs="Times New Roman"/>
          <w:b/>
          <w:bCs/>
          <w:color w:val="7D3B05"/>
          <w:sz w:val="24"/>
          <w:szCs w:val="24"/>
          <w:lang w:eastAsia="es-CO"/>
        </w:rPr>
        <w:t>TEMA: </w:t>
      </w:r>
      <w:r w:rsidRPr="00310AF0">
        <w:rPr>
          <w:rFonts w:ascii="Bookman Old Style" w:eastAsia="Times New Roman" w:hAnsi="Bookman Old Style" w:cs="Times New Roman"/>
          <w:b/>
          <w:bCs/>
          <w:color w:val="000000"/>
          <w:sz w:val="24"/>
          <w:szCs w:val="24"/>
          <w:lang w:eastAsia="es-CO"/>
        </w:rPr>
        <w:t>DERECHO AL DEBIDO PROCESO</w:t>
      </w:r>
      <w:r w:rsidRPr="00310AF0">
        <w:rPr>
          <w:rFonts w:ascii="Bookman Old Style" w:eastAsia="Times New Roman" w:hAnsi="Bookman Old Style" w:cs="Times New Roman"/>
          <w:color w:val="000000"/>
          <w:sz w:val="24"/>
          <w:szCs w:val="24"/>
          <w:lang w:eastAsia="es-CO"/>
        </w:rPr>
        <w:t xml:space="preserve"> - Proceso disciplinario: defecto fáctico en el fallo disciplinario proferido por la Comisión Seccional de Disciplina Judicial de Bogotá, al dejar de valorar los dictámenes periciales grafológico y </w:t>
      </w:r>
      <w:proofErr w:type="spellStart"/>
      <w:r w:rsidRPr="00310AF0">
        <w:rPr>
          <w:rFonts w:ascii="Bookman Old Style" w:eastAsia="Times New Roman" w:hAnsi="Bookman Old Style" w:cs="Times New Roman"/>
          <w:color w:val="000000"/>
          <w:sz w:val="24"/>
          <w:szCs w:val="24"/>
          <w:lang w:eastAsia="es-CO"/>
        </w:rPr>
        <w:t>documentológico</w:t>
      </w:r>
      <w:proofErr w:type="spellEnd"/>
      <w:r w:rsidRPr="00310AF0">
        <w:rPr>
          <w:rFonts w:ascii="Bookman Old Style" w:eastAsia="Times New Roman" w:hAnsi="Bookman Old Style" w:cs="Times New Roman"/>
          <w:color w:val="000000"/>
          <w:sz w:val="24"/>
          <w:szCs w:val="24"/>
          <w:lang w:eastAsia="es-CO"/>
        </w:rPr>
        <w:t xml:space="preserve"> aportados por la quejosa (argumentos del Tribunal Superior de Bogotá)</w:t>
      </w:r>
    </w:p>
    <w:p w:rsidR="00310AF0" w:rsidRPr="00310AF0" w:rsidRDefault="00310AF0" w:rsidP="00310AF0">
      <w:pPr>
        <w:jc w:val="both"/>
        <w:rPr>
          <w:rFonts w:ascii="Bookman Old Style" w:eastAsia="Times New Roman" w:hAnsi="Bookman Old Style" w:cs="Times New Roman"/>
          <w:color w:val="000000"/>
          <w:sz w:val="24"/>
          <w:szCs w:val="24"/>
          <w:lang w:eastAsia="es-CO"/>
        </w:rPr>
      </w:pPr>
    </w:p>
    <w:p w:rsidR="00310AF0" w:rsidRPr="00310AF0" w:rsidRDefault="00310AF0" w:rsidP="00310AF0">
      <w:pPr>
        <w:jc w:val="both"/>
        <w:rPr>
          <w:rFonts w:ascii="Bookman Old Style" w:eastAsia="Times New Roman" w:hAnsi="Bookman Old Style" w:cs="Times New Roman"/>
          <w:color w:val="000000"/>
          <w:sz w:val="24"/>
          <w:szCs w:val="24"/>
          <w:lang w:eastAsia="es-CO"/>
        </w:rPr>
      </w:pPr>
      <w:r w:rsidRPr="00310AF0">
        <w:rPr>
          <w:rFonts w:ascii="Bookman Old Style" w:eastAsia="Times New Roman" w:hAnsi="Bookman Old Style" w:cs="Times New Roman"/>
          <w:b/>
          <w:bCs/>
          <w:color w:val="000000"/>
          <w:sz w:val="24"/>
          <w:szCs w:val="24"/>
          <w:lang w:eastAsia="es-CO"/>
        </w:rPr>
        <w:t>ACCIÓN DE TUTELA CONTRA PROVIDENCIA JUDICIAL</w:t>
      </w:r>
      <w:r w:rsidRPr="00310AF0">
        <w:rPr>
          <w:rFonts w:ascii="Bookman Old Style" w:eastAsia="Times New Roman" w:hAnsi="Bookman Old Style" w:cs="Times New Roman"/>
          <w:color w:val="000000"/>
          <w:sz w:val="24"/>
          <w:szCs w:val="24"/>
          <w:lang w:eastAsia="es-CO"/>
        </w:rPr>
        <w:t> - Requisitos de procedencia (c. j.)</w:t>
      </w:r>
    </w:p>
    <w:p w:rsidR="00310AF0" w:rsidRPr="00310AF0" w:rsidRDefault="00310AF0" w:rsidP="00310AF0">
      <w:pPr>
        <w:jc w:val="both"/>
        <w:rPr>
          <w:rFonts w:ascii="Bookman Old Style" w:eastAsia="Times New Roman" w:hAnsi="Bookman Old Style" w:cs="Times New Roman"/>
          <w:color w:val="000000"/>
          <w:sz w:val="24"/>
          <w:szCs w:val="24"/>
          <w:lang w:eastAsia="es-CO"/>
        </w:rPr>
      </w:pPr>
    </w:p>
    <w:p w:rsidR="00310AF0" w:rsidRPr="00310AF0" w:rsidRDefault="00310AF0" w:rsidP="00310AF0">
      <w:pPr>
        <w:jc w:val="both"/>
        <w:rPr>
          <w:rFonts w:ascii="Bookman Old Style" w:eastAsia="Times New Roman" w:hAnsi="Bookman Old Style" w:cs="Times New Roman"/>
          <w:color w:val="000000"/>
          <w:sz w:val="24"/>
          <w:szCs w:val="24"/>
          <w:lang w:eastAsia="es-CO"/>
        </w:rPr>
      </w:pPr>
      <w:r w:rsidRPr="00310AF0">
        <w:rPr>
          <w:rFonts w:ascii="Bookman Old Style" w:eastAsia="Times New Roman" w:hAnsi="Bookman Old Style" w:cs="Times New Roman"/>
          <w:b/>
          <w:bCs/>
          <w:color w:val="000000"/>
          <w:sz w:val="24"/>
          <w:szCs w:val="24"/>
          <w:lang w:eastAsia="es-CO"/>
        </w:rPr>
        <w:t>ACCIÓN DE TUTELA</w:t>
      </w:r>
      <w:r w:rsidRPr="00310AF0">
        <w:rPr>
          <w:rFonts w:ascii="Bookman Old Style" w:eastAsia="Times New Roman" w:hAnsi="Bookman Old Style" w:cs="Times New Roman"/>
          <w:color w:val="000000"/>
          <w:sz w:val="24"/>
          <w:szCs w:val="24"/>
          <w:lang w:eastAsia="es-CO"/>
        </w:rPr>
        <w:t> - Carga probatoria del accionante de demostrar los supuestos fácticos en que se funda la pretensión</w:t>
      </w:r>
    </w:p>
    <w:p w:rsidR="00310AF0" w:rsidRPr="00310AF0" w:rsidRDefault="00310AF0" w:rsidP="00310AF0">
      <w:pPr>
        <w:jc w:val="both"/>
        <w:rPr>
          <w:rFonts w:ascii="Bookman Old Style" w:eastAsia="Times New Roman" w:hAnsi="Bookman Old Style" w:cs="Times New Roman"/>
          <w:color w:val="000000"/>
          <w:sz w:val="24"/>
          <w:szCs w:val="24"/>
          <w:lang w:eastAsia="es-CO"/>
        </w:rPr>
      </w:pPr>
    </w:p>
    <w:p w:rsidR="00310AF0" w:rsidRPr="00310AF0" w:rsidRDefault="00310AF0" w:rsidP="00310AF0">
      <w:pPr>
        <w:jc w:val="both"/>
        <w:rPr>
          <w:rFonts w:ascii="Bookman Old Style" w:eastAsia="Times New Roman" w:hAnsi="Bookman Old Style" w:cs="Times New Roman"/>
          <w:color w:val="000000"/>
          <w:sz w:val="24"/>
          <w:szCs w:val="24"/>
          <w:lang w:eastAsia="es-CO"/>
        </w:rPr>
      </w:pPr>
      <w:r w:rsidRPr="00310AF0">
        <w:rPr>
          <w:rFonts w:ascii="Bookman Old Style" w:eastAsia="Times New Roman" w:hAnsi="Bookman Old Style" w:cs="Times New Roman"/>
          <w:b/>
          <w:bCs/>
          <w:color w:val="7D3B05"/>
          <w:sz w:val="24"/>
          <w:szCs w:val="24"/>
          <w:lang w:eastAsia="es-CO"/>
        </w:rPr>
        <w:t>Tesis:</w:t>
      </w:r>
    </w:p>
    <w:p w:rsidR="00310AF0" w:rsidRPr="00310AF0" w:rsidRDefault="00310AF0" w:rsidP="00310AF0">
      <w:pPr>
        <w:jc w:val="both"/>
        <w:rPr>
          <w:rFonts w:ascii="Bookman Old Style" w:eastAsia="Times New Roman" w:hAnsi="Bookman Old Style" w:cs="Times New Roman"/>
          <w:color w:val="000000"/>
          <w:sz w:val="24"/>
          <w:szCs w:val="24"/>
          <w:lang w:eastAsia="es-CO"/>
        </w:rPr>
      </w:pPr>
      <w:r w:rsidRPr="00310AF0">
        <w:rPr>
          <w:rFonts w:ascii="Bookman Old Style" w:eastAsia="Times New Roman" w:hAnsi="Bookman Old Style" w:cs="Times New Roman"/>
          <w:color w:val="000000"/>
          <w:sz w:val="24"/>
          <w:szCs w:val="24"/>
          <w:lang w:eastAsia="es-CO"/>
        </w:rPr>
        <w:t xml:space="preserve">«La jurisprudencia constitucional ha decantado con suficiencia los presupuestos y requisitos generales de </w:t>
      </w:r>
      <w:proofErr w:type="spellStart"/>
      <w:r w:rsidRPr="00310AF0">
        <w:rPr>
          <w:rFonts w:ascii="Bookman Old Style" w:eastAsia="Times New Roman" w:hAnsi="Bookman Old Style" w:cs="Times New Roman"/>
          <w:color w:val="000000"/>
          <w:sz w:val="24"/>
          <w:szCs w:val="24"/>
          <w:lang w:eastAsia="es-CO"/>
        </w:rPr>
        <w:t>procedibilidad</w:t>
      </w:r>
      <w:proofErr w:type="spellEnd"/>
      <w:r w:rsidRPr="00310AF0">
        <w:rPr>
          <w:rFonts w:ascii="Bookman Old Style" w:eastAsia="Times New Roman" w:hAnsi="Bookman Old Style" w:cs="Times New Roman"/>
          <w:color w:val="000000"/>
          <w:sz w:val="24"/>
          <w:szCs w:val="24"/>
          <w:lang w:eastAsia="es-CO"/>
        </w:rPr>
        <w:t xml:space="preserve"> que deben confluir y verificarse a la hora de establecer la procedencia de la intervención del juez de tutela, ellos son: “(i) …que la cuestión discutida resulte de evidente relevancia constitucional y que, como en cualquier acción de tutela, esté acreditada la vulneración de un derecho fundamental, requisito sine qua non de esta acción de tutela que, en estos casos, exige una carga especial al actor; (ii) que la persona afectada haya agotado todos los medios ordinarios y extraordinarios de defensa judicial a su alcance y haya alegado, en sede judicial ordinaria, y siempre que ello fuera posible, la cuestión </w:t>
      </w:r>
      <w:proofErr w:type="spellStart"/>
      <w:r w:rsidRPr="00310AF0">
        <w:rPr>
          <w:rFonts w:ascii="Bookman Old Style" w:eastAsia="Times New Roman" w:hAnsi="Bookman Old Style" w:cs="Times New Roman"/>
          <w:color w:val="000000"/>
          <w:sz w:val="24"/>
          <w:szCs w:val="24"/>
          <w:lang w:eastAsia="es-CO"/>
        </w:rPr>
        <w:t>iusfundamental</w:t>
      </w:r>
      <w:proofErr w:type="spellEnd"/>
      <w:r w:rsidRPr="00310AF0">
        <w:rPr>
          <w:rFonts w:ascii="Bookman Old Style" w:eastAsia="Times New Roman" w:hAnsi="Bookman Old Style" w:cs="Times New Roman"/>
          <w:color w:val="000000"/>
          <w:sz w:val="24"/>
          <w:szCs w:val="24"/>
          <w:lang w:eastAsia="es-CO"/>
        </w:rPr>
        <w:t xml:space="preserve"> que alega en sede de tutela; (iii) que se cumpla el requisito de la inmediatez, es decir, que la tutela se hubiere interpuesto en un término razonable y proporcionado a partir del hecho que originó la vulneración; (iv) en el caso de irregularidades procesales, se requiere que éstas tengan un efecto decisivo en la decisión de fondo que se impugna; y (v) que no se trate de sentencias de tutela” (CC. Sentencias C-590/05; SU-813/07).</w:t>
      </w:r>
    </w:p>
    <w:p w:rsidR="00310AF0" w:rsidRPr="00310AF0" w:rsidRDefault="00310AF0" w:rsidP="00310AF0">
      <w:pPr>
        <w:jc w:val="both"/>
        <w:rPr>
          <w:rFonts w:ascii="Bookman Old Style" w:eastAsia="Times New Roman" w:hAnsi="Bookman Old Style" w:cs="Times New Roman"/>
          <w:color w:val="000000"/>
          <w:sz w:val="24"/>
          <w:szCs w:val="24"/>
          <w:lang w:eastAsia="es-CO"/>
        </w:rPr>
      </w:pPr>
    </w:p>
    <w:p w:rsidR="00310AF0" w:rsidRPr="00310AF0" w:rsidRDefault="00310AF0" w:rsidP="00310AF0">
      <w:pPr>
        <w:jc w:val="both"/>
        <w:rPr>
          <w:rFonts w:ascii="Bookman Old Style" w:eastAsia="Times New Roman" w:hAnsi="Bookman Old Style" w:cs="Times New Roman"/>
          <w:color w:val="000000"/>
          <w:sz w:val="24"/>
          <w:szCs w:val="24"/>
          <w:lang w:eastAsia="es-CO"/>
        </w:rPr>
      </w:pPr>
      <w:r w:rsidRPr="00310AF0">
        <w:rPr>
          <w:rFonts w:ascii="Bookman Old Style" w:eastAsia="Times New Roman" w:hAnsi="Bookman Old Style" w:cs="Times New Roman"/>
          <w:color w:val="000000"/>
          <w:sz w:val="24"/>
          <w:szCs w:val="24"/>
          <w:lang w:eastAsia="es-CO"/>
        </w:rPr>
        <w:t xml:space="preserve">Resulta imprescindible entonces que en el examen previo se constate la presencia de los señalados presupuestos, pero forzosamente se requiere que el supuesto de hecho planteado desvele una situación en la que se hallen </w:t>
      </w:r>
      <w:r w:rsidRPr="00310AF0">
        <w:rPr>
          <w:rFonts w:ascii="Bookman Old Style" w:eastAsia="Times New Roman" w:hAnsi="Bookman Old Style" w:cs="Times New Roman"/>
          <w:color w:val="000000"/>
          <w:sz w:val="24"/>
          <w:szCs w:val="24"/>
          <w:lang w:eastAsia="es-CO"/>
        </w:rPr>
        <w:lastRenderedPageBreak/>
        <w:t>ciertamente comprometidos derechos fundamentales, de no ser así, el amparo no puede prosperar.</w:t>
      </w:r>
    </w:p>
    <w:p w:rsidR="00310AF0" w:rsidRPr="00310AF0" w:rsidRDefault="00310AF0" w:rsidP="00310AF0">
      <w:pPr>
        <w:jc w:val="both"/>
        <w:rPr>
          <w:rFonts w:ascii="Bookman Old Style" w:eastAsia="Times New Roman" w:hAnsi="Bookman Old Style" w:cs="Times New Roman"/>
          <w:color w:val="000000"/>
          <w:sz w:val="24"/>
          <w:szCs w:val="24"/>
          <w:lang w:eastAsia="es-CO"/>
        </w:rPr>
      </w:pPr>
    </w:p>
    <w:p w:rsidR="00310AF0" w:rsidRPr="00310AF0" w:rsidRDefault="00310AF0" w:rsidP="00310AF0">
      <w:pPr>
        <w:jc w:val="both"/>
        <w:rPr>
          <w:rFonts w:ascii="Bookman Old Style" w:eastAsia="Times New Roman" w:hAnsi="Bookman Old Style" w:cs="Times New Roman"/>
          <w:color w:val="000000"/>
          <w:sz w:val="24"/>
          <w:szCs w:val="24"/>
          <w:lang w:eastAsia="es-CO"/>
        </w:rPr>
      </w:pPr>
      <w:r w:rsidRPr="00310AF0">
        <w:rPr>
          <w:rFonts w:ascii="Bookman Old Style" w:eastAsia="Times New Roman" w:hAnsi="Bookman Old Style" w:cs="Times New Roman"/>
          <w:color w:val="000000"/>
          <w:sz w:val="24"/>
          <w:szCs w:val="24"/>
          <w:lang w:eastAsia="es-CO"/>
        </w:rPr>
        <w:t>Sobre el particular la Sala ha precisado que para su procedencia se requiere:</w:t>
      </w:r>
    </w:p>
    <w:p w:rsidR="00310AF0" w:rsidRPr="00310AF0" w:rsidRDefault="00310AF0" w:rsidP="00310AF0">
      <w:pPr>
        <w:jc w:val="both"/>
        <w:rPr>
          <w:rFonts w:ascii="Bookman Old Style" w:eastAsia="Times New Roman" w:hAnsi="Bookman Old Style" w:cs="Times New Roman"/>
          <w:color w:val="000000"/>
          <w:sz w:val="24"/>
          <w:szCs w:val="24"/>
          <w:lang w:eastAsia="es-CO"/>
        </w:rPr>
      </w:pPr>
    </w:p>
    <w:p w:rsidR="00310AF0" w:rsidRPr="00310AF0" w:rsidRDefault="00310AF0" w:rsidP="00310AF0">
      <w:pPr>
        <w:jc w:val="both"/>
        <w:rPr>
          <w:rFonts w:ascii="Bookman Old Style" w:eastAsia="Times New Roman" w:hAnsi="Bookman Old Style" w:cs="Times New Roman"/>
          <w:color w:val="000000"/>
          <w:sz w:val="24"/>
          <w:szCs w:val="24"/>
          <w:lang w:eastAsia="es-CO"/>
        </w:rPr>
      </w:pPr>
      <w:r w:rsidRPr="00310AF0">
        <w:rPr>
          <w:rFonts w:ascii="Bookman Old Style" w:eastAsia="Times New Roman" w:hAnsi="Bookman Old Style" w:cs="Times New Roman"/>
          <w:color w:val="000000"/>
          <w:sz w:val="24"/>
          <w:szCs w:val="24"/>
          <w:lang w:eastAsia="es-CO"/>
        </w:rPr>
        <w:t>“(…) el cumplimiento de algunos requisitos, siendo uno de ellos y quizás el primero y más elemental, la existencia cierta del agravio, lesión o puesta en peligro de la prerrogativa constitucional invocada que demande la inmediata intervención del juez de tutela en orden a hacerla cesar, motivo por el cual la solicitud de amparo debe contener un mínimo de demostración en cuanto a la vulneración que afecta los derechos que se quieren proteger, pues si no son objeto de ataque o coacción, carece de sentido hablar de la necesidad de la salvaguarda” (CSJ STC5337-2018, 26 abr. 2018, rad. 2018-00023-01, entre otras)»</w:t>
      </w:r>
    </w:p>
    <w:p w:rsidR="00310AF0" w:rsidRPr="00310AF0" w:rsidRDefault="00310AF0" w:rsidP="00310AF0">
      <w:pPr>
        <w:jc w:val="both"/>
        <w:rPr>
          <w:rFonts w:ascii="Bookman Old Style" w:eastAsia="Times New Roman" w:hAnsi="Bookman Old Style" w:cs="Times New Roman"/>
          <w:color w:val="000000"/>
          <w:sz w:val="24"/>
          <w:szCs w:val="24"/>
          <w:lang w:eastAsia="es-CO"/>
        </w:rPr>
      </w:pPr>
    </w:p>
    <w:p w:rsidR="00310AF0" w:rsidRPr="00310AF0" w:rsidRDefault="00310AF0" w:rsidP="00310AF0">
      <w:pPr>
        <w:jc w:val="both"/>
        <w:rPr>
          <w:rFonts w:ascii="Bookman Old Style" w:eastAsia="Times New Roman" w:hAnsi="Bookman Old Style" w:cs="Times New Roman"/>
          <w:color w:val="000000"/>
          <w:sz w:val="24"/>
          <w:szCs w:val="24"/>
          <w:lang w:eastAsia="es-CO"/>
        </w:rPr>
      </w:pPr>
      <w:r w:rsidRPr="00310AF0">
        <w:rPr>
          <w:rFonts w:ascii="Bookman Old Style" w:eastAsia="Times New Roman" w:hAnsi="Bookman Old Style" w:cs="Times New Roman"/>
          <w:b/>
          <w:bCs/>
          <w:color w:val="000000"/>
          <w:sz w:val="24"/>
          <w:szCs w:val="24"/>
          <w:lang w:eastAsia="es-CO"/>
        </w:rPr>
        <w:t>DERECHO AL DEBIDO PROCESO</w:t>
      </w:r>
      <w:r w:rsidRPr="00310AF0">
        <w:rPr>
          <w:rFonts w:ascii="Bookman Old Style" w:eastAsia="Times New Roman" w:hAnsi="Bookman Old Style" w:cs="Times New Roman"/>
          <w:color w:val="000000"/>
          <w:sz w:val="24"/>
          <w:szCs w:val="24"/>
          <w:lang w:eastAsia="es-CO"/>
        </w:rPr>
        <w:t> - Proceso disciplinario: la decisión de la Comisión Seccional de Disciplina Judicial de Bogotá, mediante la cual rechazó de plano los recursos de reposición y apelación interpuestos por la Sociedad quejosa y accionante, contra el fallo que absolvió al disciplinado por falta de legitimación para actuar, ya que carecía de la calidad de sujeto procesal, no vulnera su derecho al debido proceso</w:t>
      </w:r>
    </w:p>
    <w:p w:rsidR="00310AF0" w:rsidRPr="00310AF0" w:rsidRDefault="00310AF0" w:rsidP="00310AF0">
      <w:pPr>
        <w:jc w:val="both"/>
        <w:rPr>
          <w:rFonts w:ascii="Bookman Old Style" w:eastAsia="Times New Roman" w:hAnsi="Bookman Old Style" w:cs="Times New Roman"/>
          <w:color w:val="000000"/>
          <w:sz w:val="24"/>
          <w:szCs w:val="24"/>
          <w:lang w:eastAsia="es-CO"/>
        </w:rPr>
      </w:pPr>
    </w:p>
    <w:p w:rsidR="00310AF0" w:rsidRPr="00310AF0" w:rsidRDefault="00310AF0" w:rsidP="00310AF0">
      <w:pPr>
        <w:jc w:val="both"/>
        <w:rPr>
          <w:rFonts w:ascii="Bookman Old Style" w:eastAsia="Times New Roman" w:hAnsi="Bookman Old Style" w:cs="Times New Roman"/>
          <w:color w:val="000000"/>
          <w:sz w:val="24"/>
          <w:szCs w:val="24"/>
          <w:lang w:eastAsia="es-CO"/>
        </w:rPr>
      </w:pPr>
      <w:r w:rsidRPr="00310AF0">
        <w:rPr>
          <w:rFonts w:ascii="Bookman Old Style" w:eastAsia="Times New Roman" w:hAnsi="Bookman Old Style" w:cs="Times New Roman"/>
          <w:b/>
          <w:bCs/>
          <w:color w:val="000000"/>
          <w:sz w:val="24"/>
          <w:szCs w:val="24"/>
          <w:lang w:eastAsia="es-CO"/>
        </w:rPr>
        <w:t>DERECHO DISCIPLINARIO</w:t>
      </w:r>
      <w:r w:rsidRPr="00310AF0">
        <w:rPr>
          <w:rFonts w:ascii="Bookman Old Style" w:eastAsia="Times New Roman" w:hAnsi="Bookman Old Style" w:cs="Times New Roman"/>
          <w:color w:val="000000"/>
          <w:sz w:val="24"/>
          <w:szCs w:val="24"/>
          <w:lang w:eastAsia="es-CO"/>
        </w:rPr>
        <w:t> - Proceso disciplinario: facultades del quejoso</w:t>
      </w:r>
    </w:p>
    <w:p w:rsidR="00310AF0" w:rsidRPr="00310AF0" w:rsidRDefault="00310AF0" w:rsidP="00310AF0">
      <w:pPr>
        <w:jc w:val="both"/>
        <w:rPr>
          <w:rFonts w:ascii="Bookman Old Style" w:eastAsia="Times New Roman" w:hAnsi="Bookman Old Style" w:cs="Times New Roman"/>
          <w:color w:val="000000"/>
          <w:sz w:val="24"/>
          <w:szCs w:val="24"/>
          <w:lang w:eastAsia="es-CO"/>
        </w:rPr>
      </w:pPr>
    </w:p>
    <w:p w:rsidR="00310AF0" w:rsidRPr="00310AF0" w:rsidRDefault="00310AF0" w:rsidP="00310AF0">
      <w:pPr>
        <w:jc w:val="both"/>
        <w:rPr>
          <w:rFonts w:ascii="Bookman Old Style" w:eastAsia="Times New Roman" w:hAnsi="Bookman Old Style" w:cs="Times New Roman"/>
          <w:color w:val="000000"/>
          <w:sz w:val="24"/>
          <w:szCs w:val="24"/>
          <w:lang w:eastAsia="es-CO"/>
        </w:rPr>
      </w:pPr>
      <w:r w:rsidRPr="00310AF0">
        <w:rPr>
          <w:rFonts w:ascii="Bookman Old Style" w:eastAsia="Times New Roman" w:hAnsi="Bookman Old Style" w:cs="Times New Roman"/>
          <w:b/>
          <w:bCs/>
          <w:color w:val="000000"/>
          <w:sz w:val="24"/>
          <w:szCs w:val="24"/>
          <w:lang w:eastAsia="es-CO"/>
        </w:rPr>
        <w:t>DERECHO DISCIPLINARIO</w:t>
      </w:r>
      <w:r w:rsidRPr="00310AF0">
        <w:rPr>
          <w:rFonts w:ascii="Bookman Old Style" w:eastAsia="Times New Roman" w:hAnsi="Bookman Old Style" w:cs="Times New Roman"/>
          <w:color w:val="000000"/>
          <w:sz w:val="24"/>
          <w:szCs w:val="24"/>
          <w:lang w:eastAsia="es-CO"/>
        </w:rPr>
        <w:t> - Proceso disciplinario - Intervinientes: inexistencia de la calidad de víctima en el proceso disciplinario (c. j.)</w:t>
      </w:r>
    </w:p>
    <w:p w:rsidR="00310AF0" w:rsidRPr="00310AF0" w:rsidRDefault="00310AF0" w:rsidP="00310AF0">
      <w:pPr>
        <w:jc w:val="both"/>
        <w:rPr>
          <w:rFonts w:ascii="Bookman Old Style" w:eastAsia="Times New Roman" w:hAnsi="Bookman Old Style" w:cs="Times New Roman"/>
          <w:color w:val="000000"/>
          <w:sz w:val="24"/>
          <w:szCs w:val="24"/>
          <w:lang w:eastAsia="es-CO"/>
        </w:rPr>
      </w:pPr>
    </w:p>
    <w:p w:rsidR="00310AF0" w:rsidRPr="00310AF0" w:rsidRDefault="00310AF0" w:rsidP="00310AF0">
      <w:pPr>
        <w:jc w:val="both"/>
        <w:rPr>
          <w:rFonts w:ascii="Bookman Old Style" w:eastAsia="Times New Roman" w:hAnsi="Bookman Old Style" w:cs="Times New Roman"/>
          <w:color w:val="000000"/>
          <w:sz w:val="24"/>
          <w:szCs w:val="24"/>
          <w:lang w:eastAsia="es-CO"/>
        </w:rPr>
      </w:pPr>
      <w:r w:rsidRPr="00310AF0">
        <w:rPr>
          <w:rFonts w:ascii="Bookman Old Style" w:eastAsia="Times New Roman" w:hAnsi="Bookman Old Style" w:cs="Times New Roman"/>
          <w:b/>
          <w:bCs/>
          <w:color w:val="000000"/>
          <w:sz w:val="24"/>
          <w:szCs w:val="24"/>
          <w:lang w:eastAsia="es-CO"/>
        </w:rPr>
        <w:t>DERECHO DISCIPLINARIO</w:t>
      </w:r>
      <w:r w:rsidRPr="00310AF0">
        <w:rPr>
          <w:rFonts w:ascii="Bookman Old Style" w:eastAsia="Times New Roman" w:hAnsi="Bookman Old Style" w:cs="Times New Roman"/>
          <w:color w:val="000000"/>
          <w:sz w:val="24"/>
          <w:szCs w:val="24"/>
          <w:lang w:eastAsia="es-CO"/>
        </w:rPr>
        <w:t> - Proceso disciplinario - Intervinientes: sujetos procesales</w:t>
      </w:r>
    </w:p>
    <w:p w:rsidR="00310AF0" w:rsidRPr="00310AF0" w:rsidRDefault="00310AF0" w:rsidP="00310AF0">
      <w:pPr>
        <w:jc w:val="both"/>
        <w:rPr>
          <w:rFonts w:ascii="Bookman Old Style" w:eastAsia="Times New Roman" w:hAnsi="Bookman Old Style" w:cs="Times New Roman"/>
          <w:color w:val="000000"/>
          <w:sz w:val="24"/>
          <w:szCs w:val="24"/>
          <w:lang w:eastAsia="es-CO"/>
        </w:rPr>
      </w:pPr>
    </w:p>
    <w:p w:rsidR="00310AF0" w:rsidRPr="00310AF0" w:rsidRDefault="00310AF0" w:rsidP="00310AF0">
      <w:pPr>
        <w:jc w:val="both"/>
        <w:rPr>
          <w:rFonts w:ascii="Bookman Old Style" w:eastAsia="Times New Roman" w:hAnsi="Bookman Old Style" w:cs="Times New Roman"/>
          <w:color w:val="000000"/>
          <w:sz w:val="24"/>
          <w:szCs w:val="24"/>
          <w:lang w:eastAsia="es-CO"/>
        </w:rPr>
      </w:pPr>
      <w:r w:rsidRPr="00310AF0">
        <w:rPr>
          <w:rFonts w:ascii="Bookman Old Style" w:eastAsia="Times New Roman" w:hAnsi="Bookman Old Style" w:cs="Times New Roman"/>
          <w:b/>
          <w:bCs/>
          <w:color w:val="000000"/>
          <w:sz w:val="24"/>
          <w:szCs w:val="24"/>
          <w:lang w:eastAsia="es-CO"/>
        </w:rPr>
        <w:t>DERECHO A LA IGUALDAD</w:t>
      </w:r>
      <w:r w:rsidRPr="00310AF0">
        <w:rPr>
          <w:rFonts w:ascii="Bookman Old Style" w:eastAsia="Times New Roman" w:hAnsi="Bookman Old Style" w:cs="Times New Roman"/>
          <w:color w:val="000000"/>
          <w:sz w:val="24"/>
          <w:szCs w:val="24"/>
          <w:lang w:eastAsia="es-CO"/>
        </w:rPr>
        <w:t> - Igualdad de trato jurídico: inaplicabilidad de la sentencia de tutela CC T-473-17 citada como referencia, cuyo ámbito de aplicación y sujetos disciplinables son los servidores públicos y particulares que ejercen la función pública de manera permanente o transitoria</w:t>
      </w:r>
    </w:p>
    <w:p w:rsidR="00310AF0" w:rsidRPr="00310AF0" w:rsidRDefault="00310AF0" w:rsidP="00310AF0">
      <w:pPr>
        <w:jc w:val="both"/>
        <w:rPr>
          <w:rFonts w:ascii="Bookman Old Style" w:eastAsia="Times New Roman" w:hAnsi="Bookman Old Style" w:cs="Times New Roman"/>
          <w:color w:val="000000"/>
          <w:sz w:val="24"/>
          <w:szCs w:val="24"/>
          <w:lang w:eastAsia="es-CO"/>
        </w:rPr>
      </w:pPr>
    </w:p>
    <w:p w:rsidR="00310AF0" w:rsidRPr="00310AF0" w:rsidRDefault="00310AF0" w:rsidP="00310AF0">
      <w:pPr>
        <w:jc w:val="both"/>
        <w:rPr>
          <w:rFonts w:ascii="Bookman Old Style" w:eastAsia="Times New Roman" w:hAnsi="Bookman Old Style" w:cs="Times New Roman"/>
          <w:color w:val="000000"/>
          <w:sz w:val="24"/>
          <w:szCs w:val="24"/>
          <w:lang w:eastAsia="es-CO"/>
        </w:rPr>
      </w:pPr>
      <w:r w:rsidRPr="00310AF0">
        <w:rPr>
          <w:rFonts w:ascii="Bookman Old Style" w:eastAsia="Times New Roman" w:hAnsi="Bookman Old Style" w:cs="Times New Roman"/>
          <w:b/>
          <w:bCs/>
          <w:color w:val="7D3B05"/>
          <w:sz w:val="24"/>
          <w:szCs w:val="24"/>
          <w:lang w:eastAsia="es-CO"/>
        </w:rPr>
        <w:t>Tesis:</w:t>
      </w:r>
    </w:p>
    <w:p w:rsidR="00310AF0" w:rsidRPr="00310AF0" w:rsidRDefault="00310AF0" w:rsidP="00310AF0">
      <w:pPr>
        <w:jc w:val="both"/>
        <w:rPr>
          <w:rFonts w:ascii="Bookman Old Style" w:eastAsia="Times New Roman" w:hAnsi="Bookman Old Style" w:cs="Times New Roman"/>
          <w:color w:val="000000"/>
          <w:sz w:val="24"/>
          <w:szCs w:val="24"/>
          <w:lang w:eastAsia="es-CO"/>
        </w:rPr>
      </w:pPr>
      <w:r w:rsidRPr="00310AF0">
        <w:rPr>
          <w:rFonts w:ascii="Bookman Old Style" w:eastAsia="Times New Roman" w:hAnsi="Bookman Old Style" w:cs="Times New Roman"/>
          <w:color w:val="000000"/>
          <w:sz w:val="24"/>
          <w:szCs w:val="24"/>
          <w:lang w:eastAsia="es-CO"/>
        </w:rPr>
        <w:t>«La Sala confirmará la providencia confutada en lo que es objeto puntual de reparo en la impugnación, es decir, frente a la negativa de permitir la intervención de la accionante como sujeto procesal, habilitándola para interponer el recurso de apelación frente a la sentencia que dirimió el juicio disciplinario contra el abogado Viveros Díaz.</w:t>
      </w:r>
    </w:p>
    <w:p w:rsidR="00310AF0" w:rsidRPr="00310AF0" w:rsidRDefault="00310AF0" w:rsidP="00310AF0">
      <w:pPr>
        <w:jc w:val="both"/>
        <w:rPr>
          <w:rFonts w:ascii="Bookman Old Style" w:eastAsia="Times New Roman" w:hAnsi="Bookman Old Style" w:cs="Times New Roman"/>
          <w:color w:val="000000"/>
          <w:sz w:val="24"/>
          <w:szCs w:val="24"/>
          <w:lang w:eastAsia="es-CO"/>
        </w:rPr>
      </w:pPr>
    </w:p>
    <w:p w:rsidR="00310AF0" w:rsidRPr="00310AF0" w:rsidRDefault="00310AF0" w:rsidP="00310AF0">
      <w:pPr>
        <w:jc w:val="both"/>
        <w:rPr>
          <w:rFonts w:ascii="Bookman Old Style" w:eastAsia="Times New Roman" w:hAnsi="Bookman Old Style" w:cs="Times New Roman"/>
          <w:color w:val="000000"/>
          <w:sz w:val="24"/>
          <w:szCs w:val="24"/>
          <w:lang w:eastAsia="es-CO"/>
        </w:rPr>
      </w:pPr>
      <w:r w:rsidRPr="00310AF0">
        <w:rPr>
          <w:rFonts w:ascii="Bookman Old Style" w:eastAsia="Times New Roman" w:hAnsi="Bookman Old Style" w:cs="Times New Roman"/>
          <w:color w:val="000000"/>
          <w:sz w:val="24"/>
          <w:szCs w:val="24"/>
          <w:lang w:eastAsia="es-CO"/>
        </w:rPr>
        <w:t>3.1. Lo anterior, por cuanto, de conformidad con la normativa que rigió la actuación en cuestión, la Ley 1123 de 2007 “por la cual se establece el código disciplinario del abogado”, en el parágrafo único de su artículo 66 estableció que el quejoso únicamente tiene la facultad de: (i) formular y ampliar la queja bajo gravedad de juramento; (ii) aportar pruebas; e (iii) impugnar las decisiones, distintas a la sentencia que pongan fin a la actuación.</w:t>
      </w:r>
    </w:p>
    <w:p w:rsidR="00310AF0" w:rsidRPr="00310AF0" w:rsidRDefault="00310AF0" w:rsidP="00310AF0">
      <w:pPr>
        <w:jc w:val="both"/>
        <w:rPr>
          <w:rFonts w:ascii="Bookman Old Style" w:eastAsia="Times New Roman" w:hAnsi="Bookman Old Style" w:cs="Times New Roman"/>
          <w:color w:val="000000"/>
          <w:sz w:val="24"/>
          <w:szCs w:val="24"/>
          <w:lang w:eastAsia="es-CO"/>
        </w:rPr>
      </w:pPr>
    </w:p>
    <w:p w:rsidR="00310AF0" w:rsidRPr="00310AF0" w:rsidRDefault="00310AF0" w:rsidP="00310AF0">
      <w:pPr>
        <w:jc w:val="both"/>
        <w:rPr>
          <w:rFonts w:ascii="Bookman Old Style" w:eastAsia="Times New Roman" w:hAnsi="Bookman Old Style" w:cs="Times New Roman"/>
          <w:color w:val="000000"/>
          <w:sz w:val="24"/>
          <w:szCs w:val="24"/>
          <w:lang w:eastAsia="es-CO"/>
        </w:rPr>
      </w:pPr>
      <w:r w:rsidRPr="00310AF0">
        <w:rPr>
          <w:rFonts w:ascii="Bookman Old Style" w:eastAsia="Times New Roman" w:hAnsi="Bookman Old Style" w:cs="Times New Roman"/>
          <w:color w:val="000000"/>
          <w:sz w:val="24"/>
          <w:szCs w:val="24"/>
          <w:lang w:eastAsia="es-CO"/>
        </w:rPr>
        <w:t xml:space="preserve">Y es que, la intervención del quejoso en los disciplinarios es compatible con la índole de los intereses que se debaten en éste. En el derecho disciplinario, el contenido de injusticia de la falta se agota en la infracción de los deberes funcionales que le asisten al sujeto disciplinable, es decir, en el desenvolvimiento de actos funcionales sin estricto apego al principio de </w:t>
      </w:r>
      <w:r w:rsidRPr="00310AF0">
        <w:rPr>
          <w:rFonts w:ascii="Bookman Old Style" w:eastAsia="Times New Roman" w:hAnsi="Bookman Old Style" w:cs="Times New Roman"/>
          <w:color w:val="000000"/>
          <w:sz w:val="24"/>
          <w:szCs w:val="24"/>
          <w:lang w:eastAsia="es-CO"/>
        </w:rPr>
        <w:lastRenderedPageBreak/>
        <w:t>legalidad que regula sus actos y en el caso de los abogados, los que regulan la profesión. En tal sentido, esta Corporación ha precisado que:</w:t>
      </w:r>
    </w:p>
    <w:p w:rsidR="00310AF0" w:rsidRPr="00310AF0" w:rsidRDefault="00310AF0" w:rsidP="00310AF0">
      <w:pPr>
        <w:jc w:val="both"/>
        <w:rPr>
          <w:rFonts w:ascii="Bookman Old Style" w:eastAsia="Times New Roman" w:hAnsi="Bookman Old Style" w:cs="Times New Roman"/>
          <w:color w:val="000000"/>
          <w:sz w:val="24"/>
          <w:szCs w:val="24"/>
          <w:lang w:eastAsia="es-CO"/>
        </w:rPr>
      </w:pPr>
    </w:p>
    <w:p w:rsidR="00310AF0" w:rsidRPr="00310AF0" w:rsidRDefault="00310AF0" w:rsidP="00310AF0">
      <w:pPr>
        <w:jc w:val="both"/>
        <w:rPr>
          <w:rFonts w:ascii="Bookman Old Style" w:eastAsia="Times New Roman" w:hAnsi="Bookman Old Style" w:cs="Times New Roman"/>
          <w:color w:val="000000"/>
          <w:sz w:val="24"/>
          <w:szCs w:val="24"/>
          <w:lang w:eastAsia="es-CO"/>
        </w:rPr>
      </w:pPr>
      <w:r w:rsidRPr="00310AF0">
        <w:rPr>
          <w:rFonts w:ascii="Bookman Old Style" w:eastAsia="Times New Roman" w:hAnsi="Bookman Old Style" w:cs="Times New Roman"/>
          <w:color w:val="000000"/>
          <w:sz w:val="24"/>
          <w:szCs w:val="24"/>
          <w:lang w:eastAsia="es-CO"/>
        </w:rPr>
        <w:t>“(…) como la imputación disciplinaria no precisa de la vulneración de un bien jurídico, entendida tal vulneración como causación de un daño concreto o como la producción de un resultado materialmente antijurídico, no es posible afirmar la concurrencia de una persona afectada con la comisión de la falta. De allí que, en estricto sentido, en el proceso disciplinario no exista una persona afectada con la comisión de la ilicitud disciplinaria y que no sea posible legitimar a una persona para que intervenga en el proceso planteando un interés directo y alentando unas pretensiones específicas. Es decir, en el proceso disciplinario no hay víctimas y ello es consecuente con la índole de la imputación que en él se formula. (Corte Constitucional C-014 de 2004)” (STP17834-2023).</w:t>
      </w:r>
    </w:p>
    <w:p w:rsidR="00310AF0" w:rsidRPr="00310AF0" w:rsidRDefault="00310AF0" w:rsidP="00310AF0">
      <w:pPr>
        <w:jc w:val="both"/>
        <w:rPr>
          <w:rFonts w:ascii="Bookman Old Style" w:eastAsia="Times New Roman" w:hAnsi="Bookman Old Style" w:cs="Times New Roman"/>
          <w:color w:val="000000"/>
          <w:sz w:val="24"/>
          <w:szCs w:val="24"/>
          <w:lang w:eastAsia="es-CO"/>
        </w:rPr>
      </w:pPr>
    </w:p>
    <w:p w:rsidR="00310AF0" w:rsidRPr="00310AF0" w:rsidRDefault="00310AF0" w:rsidP="00310AF0">
      <w:pPr>
        <w:jc w:val="both"/>
        <w:rPr>
          <w:rFonts w:ascii="Bookman Old Style" w:eastAsia="Times New Roman" w:hAnsi="Bookman Old Style" w:cs="Times New Roman"/>
          <w:color w:val="000000"/>
          <w:sz w:val="24"/>
          <w:szCs w:val="24"/>
          <w:lang w:eastAsia="es-CO"/>
        </w:rPr>
      </w:pPr>
      <w:r w:rsidRPr="00310AF0">
        <w:rPr>
          <w:rFonts w:ascii="Bookman Old Style" w:eastAsia="Times New Roman" w:hAnsi="Bookman Old Style" w:cs="Times New Roman"/>
          <w:color w:val="000000"/>
          <w:sz w:val="24"/>
          <w:szCs w:val="24"/>
          <w:lang w:eastAsia="es-CO"/>
        </w:rPr>
        <w:t>De manera que, el canon 65 del Código Disciplinario del Abogado, tiene como sujetos procesales con facultad de intervención al investigado, su defensor y al Ministerio Público, por lo tanto, la sociedad aquí accionante, quejosa en el asunto discutido, solo podrá recurrir las decisiones que finiquiten la causa, se reitera, mientras no sea el fallo que resuelve el juicio, por lo que no es de recibo que reclame esa habilitación si la norma aplicable no le otorga tal legitimación.</w:t>
      </w:r>
    </w:p>
    <w:p w:rsidR="00310AF0" w:rsidRPr="00310AF0" w:rsidRDefault="00310AF0" w:rsidP="00310AF0">
      <w:pPr>
        <w:jc w:val="both"/>
        <w:rPr>
          <w:rFonts w:ascii="Bookman Old Style" w:eastAsia="Times New Roman" w:hAnsi="Bookman Old Style" w:cs="Times New Roman"/>
          <w:color w:val="000000"/>
          <w:sz w:val="24"/>
          <w:szCs w:val="24"/>
          <w:lang w:eastAsia="es-CO"/>
        </w:rPr>
      </w:pPr>
    </w:p>
    <w:p w:rsidR="00310AF0" w:rsidRPr="00310AF0" w:rsidRDefault="00310AF0" w:rsidP="00310AF0">
      <w:pPr>
        <w:jc w:val="both"/>
        <w:rPr>
          <w:rFonts w:ascii="Bookman Old Style" w:eastAsia="Times New Roman" w:hAnsi="Bookman Old Style" w:cs="Times New Roman"/>
          <w:color w:val="000000"/>
          <w:sz w:val="24"/>
          <w:szCs w:val="24"/>
          <w:lang w:eastAsia="es-CO"/>
        </w:rPr>
      </w:pPr>
      <w:r w:rsidRPr="00310AF0">
        <w:rPr>
          <w:rFonts w:ascii="Bookman Old Style" w:eastAsia="Times New Roman" w:hAnsi="Bookman Old Style" w:cs="Times New Roman"/>
          <w:color w:val="000000"/>
          <w:sz w:val="24"/>
          <w:szCs w:val="24"/>
          <w:lang w:eastAsia="es-CO"/>
        </w:rPr>
        <w:t xml:space="preserve">Así las cosas, no se advierte un proceder irregular que imponga ineludiblemente dispensar la protección constitucional en lo pretendido por la empresa </w:t>
      </w:r>
      <w:proofErr w:type="spellStart"/>
      <w:r w:rsidRPr="00310AF0">
        <w:rPr>
          <w:rFonts w:ascii="Bookman Old Style" w:eastAsia="Times New Roman" w:hAnsi="Bookman Old Style" w:cs="Times New Roman"/>
          <w:color w:val="000000"/>
          <w:sz w:val="24"/>
          <w:szCs w:val="24"/>
          <w:lang w:eastAsia="es-CO"/>
        </w:rPr>
        <w:t>tutelante</w:t>
      </w:r>
      <w:proofErr w:type="spellEnd"/>
      <w:r w:rsidRPr="00310AF0">
        <w:rPr>
          <w:rFonts w:ascii="Bookman Old Style" w:eastAsia="Times New Roman" w:hAnsi="Bookman Old Style" w:cs="Times New Roman"/>
          <w:color w:val="000000"/>
          <w:sz w:val="24"/>
          <w:szCs w:val="24"/>
          <w:lang w:eastAsia="es-CO"/>
        </w:rPr>
        <w:t>, en tanto que, el rechazo de los recursos y la nulidad formulada por la quejosa en el disciplinario, se atuvo plenamente a la normativa que gobernó el proceso, por lo que no corresponde atribuirle a la Comisión accionada negligencia u omisión alguna, según lo expuesto.</w:t>
      </w:r>
    </w:p>
    <w:p w:rsidR="00310AF0" w:rsidRPr="00310AF0" w:rsidRDefault="00310AF0" w:rsidP="00310AF0">
      <w:pPr>
        <w:jc w:val="both"/>
        <w:rPr>
          <w:rFonts w:ascii="Bookman Old Style" w:eastAsia="Times New Roman" w:hAnsi="Bookman Old Style" w:cs="Times New Roman"/>
          <w:color w:val="000000"/>
          <w:sz w:val="24"/>
          <w:szCs w:val="24"/>
          <w:lang w:eastAsia="es-CO"/>
        </w:rPr>
      </w:pPr>
    </w:p>
    <w:p w:rsidR="00310AF0" w:rsidRPr="00310AF0" w:rsidRDefault="00310AF0" w:rsidP="00310AF0">
      <w:pPr>
        <w:jc w:val="both"/>
        <w:rPr>
          <w:rFonts w:ascii="Bookman Old Style" w:eastAsia="Times New Roman" w:hAnsi="Bookman Old Style" w:cs="Times New Roman"/>
          <w:color w:val="000000"/>
          <w:sz w:val="24"/>
          <w:szCs w:val="24"/>
          <w:lang w:eastAsia="es-CO"/>
        </w:rPr>
      </w:pPr>
      <w:r w:rsidRPr="00310AF0">
        <w:rPr>
          <w:rFonts w:ascii="Bookman Old Style" w:eastAsia="Times New Roman" w:hAnsi="Bookman Old Style" w:cs="Times New Roman"/>
          <w:color w:val="000000"/>
          <w:sz w:val="24"/>
          <w:szCs w:val="24"/>
          <w:lang w:eastAsia="es-CO"/>
        </w:rPr>
        <w:t>3.2. Finalmente, lo alegado en torno al supuesto desconocimiento de la decisión de la Corte Constitucional, que abordó un debate aparentemente similar en sede de revisión de tutela, en la sentencia T-473 de 2017, tampoco puede abrirse paso, toda vez que, la precursora del resguardo no planteó una argumentación dirigida a demostrar por qué la accionada inobservó lo allí resuelto, si en cuenta se tiene que el análisis que desarrolló el Alto Tribunal Constitucional en aquella sentencia, se concentró respecto del Código Disciplinario Único, cuyo ámbito de aplicación y sujetos disciplinables son los servidores públicos y particulares que ejerzan la función pública de manera permanente o transitoria.</w:t>
      </w:r>
    </w:p>
    <w:p w:rsidR="00310AF0" w:rsidRPr="00310AF0" w:rsidRDefault="00310AF0" w:rsidP="00310AF0">
      <w:pPr>
        <w:jc w:val="both"/>
        <w:rPr>
          <w:rFonts w:ascii="Bookman Old Style" w:eastAsia="Times New Roman" w:hAnsi="Bookman Old Style" w:cs="Times New Roman"/>
          <w:color w:val="000000"/>
          <w:sz w:val="24"/>
          <w:szCs w:val="24"/>
          <w:lang w:eastAsia="es-CO"/>
        </w:rPr>
      </w:pPr>
    </w:p>
    <w:p w:rsidR="00310AF0" w:rsidRPr="00310AF0" w:rsidRDefault="00310AF0" w:rsidP="00310AF0">
      <w:pPr>
        <w:jc w:val="both"/>
        <w:rPr>
          <w:rFonts w:ascii="Bookman Old Style" w:eastAsia="Times New Roman" w:hAnsi="Bookman Old Style" w:cs="Times New Roman"/>
          <w:color w:val="000000"/>
          <w:sz w:val="24"/>
          <w:szCs w:val="24"/>
          <w:lang w:eastAsia="es-CO"/>
        </w:rPr>
      </w:pPr>
      <w:r w:rsidRPr="00310AF0">
        <w:rPr>
          <w:rFonts w:ascii="Bookman Old Style" w:eastAsia="Times New Roman" w:hAnsi="Bookman Old Style" w:cs="Times New Roman"/>
          <w:color w:val="000000"/>
          <w:sz w:val="24"/>
          <w:szCs w:val="24"/>
          <w:lang w:eastAsia="es-CO"/>
        </w:rPr>
        <w:t>4. Por lo anterior, se impone ratificar la negativa del auxilio sobre los puntos que fueron objeto de la impugnación por parte de la empresa aquí querellante, al igual que se confirmará la concesión del amparo - no impugnada por la autoridad judicial accionada - en los mismos términos en que se otorgó respecto de la sentencia disciplinaria del 20 de noviembre de 2023, radicado 2022-4756»</w:t>
      </w:r>
    </w:p>
    <w:p w:rsidR="00310AF0" w:rsidRPr="00310AF0" w:rsidRDefault="00310AF0" w:rsidP="00310AF0">
      <w:pPr>
        <w:jc w:val="both"/>
        <w:rPr>
          <w:rFonts w:ascii="Bookman Old Style" w:eastAsia="Times New Roman" w:hAnsi="Bookman Old Style" w:cs="Times New Roman"/>
          <w:color w:val="000000"/>
          <w:sz w:val="24"/>
          <w:szCs w:val="24"/>
          <w:lang w:eastAsia="es-CO"/>
        </w:rPr>
      </w:pPr>
    </w:p>
    <w:p w:rsidR="00310AF0" w:rsidRPr="00310AF0" w:rsidRDefault="00310AF0" w:rsidP="00310AF0">
      <w:pPr>
        <w:jc w:val="both"/>
        <w:rPr>
          <w:rFonts w:ascii="Bookman Old Style" w:eastAsia="Times New Roman" w:hAnsi="Bookman Old Style" w:cs="Times New Roman"/>
          <w:color w:val="000000"/>
          <w:sz w:val="24"/>
          <w:szCs w:val="24"/>
          <w:lang w:eastAsia="es-CO"/>
        </w:rPr>
      </w:pPr>
    </w:p>
    <w:p w:rsidR="00310AF0" w:rsidRPr="00310AF0" w:rsidRDefault="00310AF0" w:rsidP="00310AF0">
      <w:pPr>
        <w:jc w:val="both"/>
        <w:rPr>
          <w:rFonts w:ascii="Bookman Old Style" w:eastAsia="Times New Roman" w:hAnsi="Bookman Old Style" w:cs="Times New Roman"/>
          <w:color w:val="000000"/>
          <w:sz w:val="24"/>
          <w:szCs w:val="24"/>
          <w:lang w:eastAsia="es-CO"/>
        </w:rPr>
      </w:pPr>
      <w:r w:rsidRPr="00310AF0">
        <w:rPr>
          <w:rFonts w:ascii="Bookman Old Style" w:eastAsia="Times New Roman" w:hAnsi="Bookman Old Style" w:cs="Times New Roman"/>
          <w:b/>
          <w:bCs/>
          <w:color w:val="7D3B05"/>
          <w:sz w:val="24"/>
          <w:szCs w:val="24"/>
          <w:lang w:eastAsia="es-CO"/>
        </w:rPr>
        <w:t>JURISPRUDENCIA RELACIONADA: </w:t>
      </w:r>
      <w:r w:rsidRPr="00310AF0">
        <w:rPr>
          <w:rFonts w:ascii="Bookman Old Style" w:eastAsia="Times New Roman" w:hAnsi="Bookman Old Style" w:cs="Times New Roman"/>
          <w:color w:val="000000"/>
          <w:sz w:val="24"/>
          <w:szCs w:val="24"/>
          <w:lang w:eastAsia="es-CO"/>
        </w:rPr>
        <w:t>CSJ STP17834-2023</w:t>
      </w:r>
    </w:p>
    <w:p w:rsidR="00310AF0" w:rsidRPr="00310AF0" w:rsidRDefault="00310AF0" w:rsidP="00310AF0">
      <w:pPr>
        <w:rPr>
          <w:rFonts w:ascii="Bookman Old Style" w:eastAsia="Times New Roman" w:hAnsi="Bookman Old Style" w:cs="Times New Roman"/>
          <w:color w:val="000000"/>
          <w:sz w:val="24"/>
          <w:szCs w:val="24"/>
          <w:lang w:eastAsia="es-CO"/>
        </w:rPr>
      </w:pPr>
    </w:p>
    <w:p w:rsidR="004E581A" w:rsidRPr="00310AF0" w:rsidRDefault="004E581A" w:rsidP="00310AF0">
      <w:pPr>
        <w:rPr>
          <w:rFonts w:ascii="Bookman Old Style" w:hAnsi="Bookman Old Style"/>
          <w:sz w:val="24"/>
          <w:szCs w:val="24"/>
        </w:rPr>
      </w:pPr>
    </w:p>
    <w:sectPr w:rsidR="004E581A" w:rsidRPr="00310AF0" w:rsidSect="00C859B4">
      <w:pgSz w:w="12242" w:h="18722" w:code="14"/>
      <w:pgMar w:top="1418" w:right="1701" w:bottom="1418" w:left="1701" w:header="709" w:footer="709" w:gutter="0"/>
      <w:paperSrc w:first="1" w:other="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AF0"/>
    <w:rsid w:val="00310AF0"/>
    <w:rsid w:val="004E581A"/>
    <w:rsid w:val="006E70A2"/>
    <w:rsid w:val="008C49A0"/>
    <w:rsid w:val="00901E70"/>
    <w:rsid w:val="00C859B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1147E5-1313-4D9A-A647-BB6ECAD9D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E70A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7641500">
      <w:bodyDiv w:val="1"/>
      <w:marLeft w:val="0"/>
      <w:marRight w:val="0"/>
      <w:marTop w:val="0"/>
      <w:marBottom w:val="0"/>
      <w:divBdr>
        <w:top w:val="none" w:sz="0" w:space="0" w:color="auto"/>
        <w:left w:val="none" w:sz="0" w:space="0" w:color="auto"/>
        <w:bottom w:val="none" w:sz="0" w:space="0" w:color="auto"/>
        <w:right w:val="none" w:sz="0" w:space="0" w:color="auto"/>
      </w:divBdr>
      <w:divsChild>
        <w:div w:id="1500654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cortesuprema.gov.co/corte/wp-content/uploads/relatorias/tutelas/B%20JUL2024/STC8563-2024.docx"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1608</Words>
  <Characters>8846</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Alexander Lopez Briceño</dc:creator>
  <cp:keywords/>
  <dc:description/>
  <cp:lastModifiedBy>Jorge Alexander Lopez Briceño</cp:lastModifiedBy>
  <cp:revision>2</cp:revision>
  <dcterms:created xsi:type="dcterms:W3CDTF">2024-08-01T12:23:00Z</dcterms:created>
  <dcterms:modified xsi:type="dcterms:W3CDTF">2024-08-01T12:28:00Z</dcterms:modified>
</cp:coreProperties>
</file>