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0D5" w:rsidRPr="009B30D5" w:rsidRDefault="009B30D5" w:rsidP="009B30D5">
      <w:pPr>
        <w:jc w:val="cente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noProof/>
          <w:sz w:val="24"/>
          <w:szCs w:val="24"/>
          <w:lang w:eastAsia="es-CO"/>
        </w:rPr>
        <w:drawing>
          <wp:inline distT="0" distB="0" distL="0" distR="0">
            <wp:extent cx="1390650" cy="1314450"/>
            <wp:effectExtent l="0" t="0" r="0" b="0"/>
            <wp:docPr id="1" name="Imagen 1" descr="http://190.217.24.13: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0.217.24.13: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9B30D5" w:rsidRPr="009B30D5" w:rsidRDefault="009B30D5" w:rsidP="009B30D5">
      <w:pPr>
        <w:jc w:val="left"/>
        <w:rPr>
          <w:rFonts w:ascii="Bookman Old Style" w:eastAsia="Times New Roman" w:hAnsi="Bookman Old Style" w:cs="Times New Roman"/>
          <w:sz w:val="24"/>
          <w:szCs w:val="24"/>
          <w:lang w:eastAsia="es-CO"/>
        </w:rPr>
      </w:pPr>
    </w:p>
    <w:p w:rsidR="009B30D5" w:rsidRPr="009B30D5" w:rsidRDefault="009B30D5" w:rsidP="009B30D5">
      <w:pPr>
        <w:jc w:val="cente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t>TUTELA</w:t>
      </w:r>
    </w:p>
    <w:p w:rsidR="009B30D5" w:rsidRPr="009B30D5" w:rsidRDefault="009B30D5" w:rsidP="009B30D5">
      <w:pPr>
        <w:jc w:val="left"/>
        <w:rPr>
          <w:rFonts w:ascii="Bookman Old Style" w:eastAsia="Times New Roman" w:hAnsi="Bookman Old Style" w:cs="Times New Roman"/>
          <w:sz w:val="24"/>
          <w:szCs w:val="24"/>
          <w:lang w:eastAsia="es-CO"/>
        </w:rPr>
      </w:pPr>
    </w:p>
    <w:p w:rsidR="009B30D5" w:rsidRPr="009B30D5" w:rsidRDefault="009B30D5" w:rsidP="009B30D5">
      <w:pPr>
        <w:jc w:val="cente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t>REPORTE DE CONSULTA</w:t>
      </w:r>
    </w:p>
    <w:p w:rsidR="009B30D5" w:rsidRPr="009B30D5" w:rsidRDefault="009B30D5" w:rsidP="009B30D5">
      <w:pPr>
        <w:jc w:val="left"/>
        <w:rPr>
          <w:rFonts w:ascii="Bookman Old Style" w:eastAsia="Times New Roman" w:hAnsi="Bookman Old Style" w:cs="Times New Roman"/>
          <w:sz w:val="24"/>
          <w:szCs w:val="24"/>
          <w:lang w:eastAsia="es-CO"/>
        </w:rPr>
      </w:pPr>
    </w:p>
    <w:p w:rsidR="009B30D5" w:rsidRPr="009B30D5" w:rsidRDefault="009B30D5" w:rsidP="009B30D5">
      <w:pPr>
        <w:jc w:val="left"/>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9B30D5" w:rsidRPr="009B30D5" w:rsidTr="009B30D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B30D5" w:rsidRPr="009B30D5" w:rsidRDefault="009B30D5" w:rsidP="009B30D5">
            <w:pPr>
              <w:shd w:val="clear" w:color="auto" w:fill="BBFFAA"/>
              <w:jc w:val="center"/>
              <w:divId w:val="1650402058"/>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t>RELEVANTE</w:t>
            </w:r>
          </w:p>
          <w:p w:rsidR="009B30D5" w:rsidRPr="009B30D5" w:rsidRDefault="009B30D5" w:rsidP="009B30D5">
            <w:pPr>
              <w:jc w:val="left"/>
              <w:rPr>
                <w:rFonts w:ascii="Bookman Old Style" w:eastAsia="Times New Roman" w:hAnsi="Bookman Old Style" w:cs="Times New Roman"/>
                <w:sz w:val="24"/>
                <w:szCs w:val="24"/>
                <w:lang w:eastAsia="es-CO"/>
              </w:rPr>
            </w:pPr>
          </w:p>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t>SALA DE CASACIÓN PENAL - SALA DE DECISIÓN DE TUTELAS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0"/>
            </w:tblGrid>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ID</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634256</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M. PONENTE</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JOSÉ FRANCISCO ACUÑA VIZCAYA</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NÚMERO DE PROCESO</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T 98393</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NÚMERO DE PROVIDENCIA</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D06AFB" w:rsidP="009B30D5">
                  <w:pPr>
                    <w:rPr>
                      <w:rFonts w:ascii="Bookman Old Style" w:eastAsia="Times New Roman" w:hAnsi="Bookman Old Style" w:cs="Times New Roman"/>
                      <w:sz w:val="24"/>
                      <w:szCs w:val="24"/>
                      <w:lang w:eastAsia="es-CO"/>
                    </w:rPr>
                  </w:pPr>
                  <w:hyperlink r:id="rId5" w:history="1">
                    <w:r w:rsidR="009B30D5" w:rsidRPr="00F97D52">
                      <w:rPr>
                        <w:rStyle w:val="Hipervnculo"/>
                        <w:rFonts w:ascii="Bookman Old Style" w:eastAsia="Times New Roman" w:hAnsi="Bookman Old Style" w:cs="Times New Roman"/>
                        <w:sz w:val="24"/>
                        <w:szCs w:val="24"/>
                        <w:lang w:eastAsia="es-CO"/>
                      </w:rPr>
                      <w:t>STP7003-2018</w:t>
                    </w:r>
                  </w:hyperlink>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PROCEDENCIA</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Tribunal Superior Sala Penal de Cundinamarca</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CLASE DE ACTUACIÓN</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ACCIÓN DE TUTELA - SEGUNDA INSTANCIA</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TIPO DE PROVIDENCIA</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SENTENCIA</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FECHA</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29/05/2018</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DECISIÓN</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REVOCA CONCEDE TUTELA</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ACCIONADO</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JUZGADO PRIMERO PENAL MUNICIPAL DE FUSAGASUGÁ CON FUNCIÓN DE CONTROL DE GARANTÍAS Y JUZGADO PRIMERO PENAL DEL CIRCUITO DE GIRARDOT CON FUNCIÓN DE CONOCIMIENTO</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ACCIONANTE</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WILSON PERILLA CUEVAS</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ACTA n.º</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170</w:t>
                  </w:r>
                </w:p>
              </w:tc>
            </w:tr>
            <w:tr w:rsidR="009B30D5" w:rsidRPr="009B30D5">
              <w:trPr>
                <w:tblCellSpacing w:w="15" w:type="dxa"/>
              </w:trPr>
              <w:tc>
                <w:tcPr>
                  <w:tcW w:w="3750"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FUENTE FORMAL</w:t>
                  </w:r>
                </w:p>
              </w:tc>
              <w:tc>
                <w:tcPr>
                  <w:tcW w:w="75" w:type="dxa"/>
                  <w:hideMark/>
                </w:tcPr>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w:t>
                  </w:r>
                </w:p>
              </w:tc>
              <w:tc>
                <w:tcPr>
                  <w:tcW w:w="0" w:type="auto"/>
                  <w:vAlign w:val="center"/>
                  <w:hideMark/>
                </w:tcPr>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Ley 906 de 2004 art. 295, 306, 307 / Ley 1098 de 2006 art. 199 / Ley 1786 de 2016</w:t>
                  </w:r>
                </w:p>
              </w:tc>
            </w:tr>
          </w:tbl>
          <w:p w:rsidR="009B30D5" w:rsidRPr="009B30D5" w:rsidRDefault="009B30D5" w:rsidP="009B30D5">
            <w:pPr>
              <w:jc w:val="left"/>
              <w:rPr>
                <w:rFonts w:ascii="Bookman Old Style" w:eastAsia="Times New Roman" w:hAnsi="Bookman Old Style" w:cs="Times New Roman"/>
                <w:sz w:val="24"/>
                <w:szCs w:val="24"/>
                <w:lang w:eastAsia="es-CO"/>
              </w:rPr>
            </w:pPr>
          </w:p>
        </w:tc>
      </w:tr>
    </w:tbl>
    <w:p w:rsidR="009B30D5" w:rsidRPr="009B30D5" w:rsidRDefault="009B30D5" w:rsidP="009B30D5">
      <w:pPr>
        <w:rPr>
          <w:rFonts w:ascii="Bookman Old Style" w:eastAsia="Times New Roman" w:hAnsi="Bookman Old Style" w:cs="Times New Roman"/>
          <w:vanish/>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9B30D5" w:rsidRPr="009B30D5" w:rsidTr="009B30D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B30D5" w:rsidRPr="009B30D5" w:rsidRDefault="009B30D5" w:rsidP="009B30D5">
            <w:pPr>
              <w:jc w:val="left"/>
              <w:rPr>
                <w:rFonts w:ascii="Bookman Old Style" w:eastAsia="Times New Roman" w:hAnsi="Bookman Old Style" w:cs="Times New Roman"/>
                <w:sz w:val="24"/>
                <w:szCs w:val="24"/>
                <w:lang w:eastAsia="es-CO"/>
              </w:rPr>
            </w:pPr>
          </w:p>
          <w:p w:rsidR="009B30D5" w:rsidRPr="009B30D5" w:rsidRDefault="009B30D5" w:rsidP="009B30D5">
            <w:pPr>
              <w:jc w:val="left"/>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 xml:space="preserve">ASUNTO: </w:t>
            </w: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lastRenderedPageBreak/>
              <w:t>PROBLEMA JURÍDICO: ¿Existe una prohibición legal para que los jueces de control de garantías reconozcan a los procesados por delitos sexuales contra menores de edad, cobijados con medida de detención preventiva, la sustitución por una no privativa de la libertad?</w:t>
            </w:r>
          </w:p>
          <w:p w:rsidR="009B30D5" w:rsidRPr="009B30D5" w:rsidRDefault="009B30D5" w:rsidP="009B30D5">
            <w:pPr>
              <w:jc w:val="left"/>
              <w:rPr>
                <w:rFonts w:ascii="Bookman Old Style" w:eastAsia="Times New Roman" w:hAnsi="Bookman Old Style" w:cs="Times New Roman"/>
                <w:sz w:val="24"/>
                <w:szCs w:val="24"/>
                <w:lang w:eastAsia="es-CO"/>
              </w:rPr>
            </w:pPr>
          </w:p>
        </w:tc>
      </w:tr>
    </w:tbl>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 xml:space="preserve">TEMA: </w:t>
      </w:r>
      <w:r w:rsidRPr="009B30D5">
        <w:rPr>
          <w:rFonts w:ascii="Bookman Old Style" w:eastAsia="Times New Roman" w:hAnsi="Bookman Old Style" w:cs="Times New Roman"/>
          <w:b/>
          <w:bCs/>
          <w:sz w:val="24"/>
          <w:szCs w:val="24"/>
          <w:lang w:eastAsia="es-CO"/>
        </w:rPr>
        <w:t>ACCIÓN DE TUTELA CONTRA PROVIDENCIA JUDICIAL</w:t>
      </w:r>
      <w:r w:rsidRPr="009B30D5">
        <w:rPr>
          <w:rFonts w:ascii="Bookman Old Style" w:eastAsia="Times New Roman" w:hAnsi="Bookman Old Style" w:cs="Times New Roman"/>
          <w:sz w:val="24"/>
          <w:szCs w:val="24"/>
          <w:lang w:eastAsia="es-CO"/>
        </w:rPr>
        <w:t xml:space="preserve"> - Requisitos generales y específicos de procedibilidad: reiteración</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Tesis:</w:t>
      </w: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«Como ha sido recurrentemente reiterado por esta Sala, la acción constitucional de tutela es un mecanismo de protección excepcional frente a providencias judiciales, su prosperidad va ligada al cumplimiento de estrictos requisitos de procedibilidad que implican una carga para el accionante, tanto en su planteamiento como en su demostración, como lo ha expuesto la propia Corte Constitucional.</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Por este motivo, y como ha sido desarrollado por la Doctrina constitucional, la acción de tutela contra providencias judiciales exige:</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a. Que la cuestión que se discuta resulte de evidente relevancia constitucional.</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b. Que hayan sido agotados todos los medios -ordinarios y extraordinarios- de defensa judicial al alcance de la persona afectada, salvo que se trate de evitar la consumación de un perjuicio iusfundamental irremediable.</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c. Que se cumpla el requisito de la inmediatez, es decir, que la tutela se hubiere interpuesto en un término razonable y proporcionado a partir del hecho que originó la vulneración.</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d. Cuando se trate de una irregularidad procesal, debe quedar claro que la misma tiene un efecto decisivo o determinante en la sentencia que se impugna y que atañe a los derechos fundamentales del accionante.</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e. Que el accionante identifique de manera razonable tanto los hechos que generaron la vulneración como los derechos vulnerados y que hubiere alegado tal vulneración en el proceso judicial, siempre que esto hubiere sido posible.</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f. Que la decisión judicial contra la cual se formula la acción de tutela no se corresponda con sentencias de tutela.</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Los anteriores requisitos, no pueden quedarse en meros enunciados, pues han sido reiterados por la Corte Constitucional, primero en la sentencia C-</w:t>
      </w:r>
      <w:r w:rsidRPr="009B30D5">
        <w:rPr>
          <w:rFonts w:ascii="Bookman Old Style" w:eastAsia="Times New Roman" w:hAnsi="Bookman Old Style" w:cs="Times New Roman"/>
          <w:sz w:val="24"/>
          <w:szCs w:val="24"/>
          <w:lang w:eastAsia="es-CO"/>
        </w:rPr>
        <w:lastRenderedPageBreak/>
        <w:t>590 de 2005, luego en las decisiones T-332, T-212 y T-780 de 2006, reforzando lo dicho en la primera de las mencionadas providencias, en el sentido que, cuando se trata de acciones de tutela contra providencias judiciales, las mismas solo pueden tener cabida "…si se cumplen ciertos y rigurosos requisitos de procedibilidad. Dentro de estos pueden distinguirse unos de carácter general, que habilitan la interposición de la tutela, y otros de carácter específico, que tocan con la procedencia misma del amparo, una vez interpuesta".</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 xml:space="preserve">En punto de las exigencias específicas, como fue recogido en la sentencia C-590 de 2005, han sido establecidas las que a continuación se relacionan: </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a. Defecto orgánico, que se presenta cuando el funcionario judicial que profirió la providencia impugnada carece absolutamente de competencia para ello.</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b. Defecto procedimental absoluto, que se origina cuando el juez actuó completamente al margen del procedimiento establecido.</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c. Defecto fáctico, el cual surge cuando el juez carece del apoyo probatorio que permita la aplicación del supuesto legal en el que se sustenta la decisión.</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d. Defecto material o sustantivo, como son los casos en que se decide con base en normas inexistentes o inconstitucionales o que presentan una evidente y grosera contradicción entre los fundamentos y la decisión;</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e. Error inducido, el cual surge cuando el juez o tribunal fue víctima de un engaño por parte de terceros y ese engaño lo condujo a la toma de una decisión que afecta derechos fundamentales.</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f. Decisión sin motivación, que implica el incumplimiento de los funcionarios judiciales de explicitar los fundamentos fácticos y jurídicos de sus decisiones, en el entendido que precisamente en esa motivación reposa la legitimidad de su órbita funcional.</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g. Desconocimiento del precedente, hipótesis que se presenta, por ejemplo, cuando la Corte Constitucional establece el alcance de un derecho fundamental y el juez ordinario aplica una ley limitando sustancialmente dicho alcance. En estos casos la tutela procede como mecanismo para garantizar la eficacia jurídica del contenido constitucionalmente vinculante del derecho fundamental vulnerado [ ].</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h. Violación directa de la Constitución.</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lastRenderedPageBreak/>
        <w:t>Queda entonces claro que en atención a la fuerza normativa de la cosa juzgada y al respeto de la autonomía judicial, la acción consagrada en el artículo 86 de la Constitución Nacional, cuando se dirige a cuestionar una decisión judicial, tiene carácter excepcional, y su prosperidad está atada a que se cumplan los requisitos de procedibilidad anteriormente enunciados. De manera que quien acude a ella tiene la carga no sólo respecto de su planteamiento, sino de su demostración».</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t>ACCIÓN DE TUTELA CONTRA PROVIDENCIA JUDICIAL</w:t>
      </w:r>
      <w:r w:rsidRPr="009B30D5">
        <w:rPr>
          <w:rFonts w:ascii="Bookman Old Style" w:eastAsia="Times New Roman" w:hAnsi="Bookman Old Style" w:cs="Times New Roman"/>
          <w:sz w:val="24"/>
          <w:szCs w:val="24"/>
          <w:lang w:eastAsia="es-CO"/>
        </w:rPr>
        <w:t xml:space="preserve"> - Observancia de los requisitos de procedencia</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Tesis:</w:t>
      </w: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 Con base en el marco jurídico presentado, la Sala encuentra que la solicitud de amparo cumple con los requisitos generales de procedibilidad, a saber:</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 xml:space="preserve">a.El caso tiene indiscutible relevancia constitucional, pues involucra el derecho fundamental al debido proceso y repercute en la libertad personal. La queja constitucional estriba en el desconocimiento de las formas propias del juicio y del derecho a ser procesado dentro de un plazo razonable. </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 xml:space="preserve">b. Fueron agotados todos los mecanismos de defensa, pues como fue evidenciado por esta Corporación en la decisión STP16906-2017 proferida el 18 de octubre de 2017 dentro del radicado 94.564, «las posibilidades ordinarias de defensa judicial en aspectos concernientes al debido proceso aplicable para la privación preventiva de la libertad personal se agotan con el ejercicio de los recursos de reposición y apelación». </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 xml:space="preserve">c. La decisión de segunda instancia censurada fue emitida el 20 de marzo de 2018 y la solicitud de amparo fue formulada el 03 de abril siguiente. </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d. El libelista identificó con suficiencia la vulneración alegada, demostrando la incidencia en sus derechos fundamentales.</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e. Por tratarse de decisiones emitidas en el marco del proceso adelantado contra el accionante, se descarta que se correspondan con fallos de tutela».</w:t>
      </w:r>
    </w:p>
    <w:p w:rsidR="009B30D5" w:rsidRPr="009B30D5" w:rsidRDefault="009B30D5" w:rsidP="009B30D5">
      <w:pPr>
        <w:rPr>
          <w:rFonts w:ascii="Bookman Old Style" w:eastAsia="Times New Roman" w:hAnsi="Bookman Old Style" w:cs="Times New Roman"/>
          <w:sz w:val="24"/>
          <w:szCs w:val="24"/>
          <w:lang w:eastAsia="es-CO"/>
        </w:rPr>
      </w:pPr>
    </w:p>
    <w:p w:rsidR="009B30D5" w:rsidRDefault="006A328E" w:rsidP="009B30D5">
      <w:pPr>
        <w:rPr>
          <w:rFonts w:ascii="Bookman Old Style" w:eastAsia="Times New Roman" w:hAnsi="Bookman Old Style" w:cs="Times New Roman"/>
          <w:sz w:val="24"/>
          <w:szCs w:val="24"/>
          <w:lang w:eastAsia="es-CO"/>
        </w:rPr>
      </w:pPr>
      <w:r>
        <w:rPr>
          <w:rFonts w:ascii="Bookman Old Style" w:eastAsia="Times New Roman" w:hAnsi="Bookman Old Style" w:cs="Times New Roman"/>
          <w:b/>
          <w:bCs/>
          <w:sz w:val="24"/>
          <w:szCs w:val="24"/>
          <w:lang w:eastAsia="es-CO"/>
        </w:rPr>
        <w:t xml:space="preserve">PROCEDIMIENTO PENAL </w:t>
      </w:r>
      <w:r>
        <w:rPr>
          <w:rFonts w:ascii="Bookman Old Style" w:eastAsia="Times New Roman" w:hAnsi="Bookman Old Style" w:cs="Times New Roman"/>
          <w:bCs/>
          <w:sz w:val="24"/>
          <w:szCs w:val="24"/>
          <w:lang w:eastAsia="es-CO"/>
        </w:rPr>
        <w:t>– Sistema penal acusatorio</w:t>
      </w:r>
      <w:r w:rsidR="009B30D5" w:rsidRPr="009B30D5">
        <w:rPr>
          <w:rFonts w:ascii="Bookman Old Style" w:eastAsia="Times New Roman" w:hAnsi="Bookman Old Style" w:cs="Times New Roman"/>
          <w:sz w:val="24"/>
          <w:szCs w:val="24"/>
          <w:lang w:eastAsia="es-CO"/>
        </w:rPr>
        <w:t xml:space="preserve"> - Régimen de libertad del imputado</w:t>
      </w:r>
      <w:r>
        <w:rPr>
          <w:rFonts w:ascii="Bookman Old Style" w:eastAsia="Times New Roman" w:hAnsi="Bookman Old Style" w:cs="Times New Roman"/>
          <w:sz w:val="24"/>
          <w:szCs w:val="24"/>
          <w:lang w:eastAsia="es-CO"/>
        </w:rPr>
        <w:t xml:space="preserve"> – Afirmación de la libertad</w:t>
      </w:r>
      <w:r w:rsidR="009B30D5" w:rsidRPr="009B30D5">
        <w:rPr>
          <w:rFonts w:ascii="Bookman Old Style" w:eastAsia="Times New Roman" w:hAnsi="Bookman Old Style" w:cs="Times New Roman"/>
          <w:sz w:val="24"/>
          <w:szCs w:val="24"/>
          <w:lang w:eastAsia="es-CO"/>
        </w:rPr>
        <w:t>: interpretación r</w:t>
      </w:r>
      <w:r>
        <w:rPr>
          <w:rFonts w:ascii="Bookman Old Style" w:eastAsia="Times New Roman" w:hAnsi="Bookman Old Style" w:cs="Times New Roman"/>
          <w:sz w:val="24"/>
          <w:szCs w:val="24"/>
          <w:lang w:eastAsia="es-CO"/>
        </w:rPr>
        <w:t>estrictiva de las normas que limitan el derecho a la libertad</w:t>
      </w:r>
    </w:p>
    <w:p w:rsidR="006A328E" w:rsidRPr="009B30D5" w:rsidRDefault="006A328E"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t>DERECHO PENAL</w:t>
      </w:r>
      <w:r w:rsidRPr="009B30D5">
        <w:rPr>
          <w:rFonts w:ascii="Bookman Old Style" w:eastAsia="Times New Roman" w:hAnsi="Bookman Old Style" w:cs="Times New Roman"/>
          <w:sz w:val="24"/>
          <w:szCs w:val="24"/>
          <w:lang w:eastAsia="es-CO"/>
        </w:rPr>
        <w:t xml:space="preserve"> - Delitos contra la libertad, integridad y formación sexual de menores de edad - Medidas de aseguramiento</w:t>
      </w:r>
      <w:r w:rsidR="00D06AFB">
        <w:rPr>
          <w:rFonts w:ascii="Bookman Old Style" w:eastAsia="Times New Roman" w:hAnsi="Bookman Old Style" w:cs="Times New Roman"/>
          <w:sz w:val="24"/>
          <w:szCs w:val="24"/>
          <w:lang w:eastAsia="es-CO"/>
        </w:rPr>
        <w:t xml:space="preserve"> - Medidas</w:t>
      </w:r>
      <w:bookmarkStart w:id="0" w:name="_GoBack"/>
      <w:bookmarkEnd w:id="0"/>
      <w:r w:rsidRPr="009B30D5">
        <w:rPr>
          <w:rFonts w:ascii="Bookman Old Style" w:eastAsia="Times New Roman" w:hAnsi="Bookman Old Style" w:cs="Times New Roman"/>
          <w:sz w:val="24"/>
          <w:szCs w:val="24"/>
          <w:lang w:eastAsia="es-CO"/>
        </w:rPr>
        <w:t xml:space="preserve"> privativas de la libertad: sustitución por otras medidas no privativas de la libertad, cuando la medida cautelar personal excede el término de un año</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lastRenderedPageBreak/>
        <w:t>DERECHO PENAL</w:t>
      </w:r>
      <w:r w:rsidRPr="009B30D5">
        <w:rPr>
          <w:rFonts w:ascii="Bookman Old Style" w:eastAsia="Times New Roman" w:hAnsi="Bookman Old Style" w:cs="Times New Roman"/>
          <w:sz w:val="24"/>
          <w:szCs w:val="24"/>
          <w:lang w:eastAsia="es-CO"/>
        </w:rPr>
        <w:t xml:space="preserve"> - Delitos contra la libertad, integridad y formación sexual de menores de edad: compatibilidad de las garantías fundamentales del procesado con los derechos de los menores de edad</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sz w:val="24"/>
          <w:szCs w:val="24"/>
          <w:lang w:eastAsia="es-CO"/>
        </w:rPr>
        <w:t>DERECHO AL DEBIDO PROCESO</w:t>
      </w:r>
      <w:r w:rsidR="00357221">
        <w:rPr>
          <w:rFonts w:ascii="Bookman Old Style" w:eastAsia="Times New Roman" w:hAnsi="Bookman Old Style" w:cs="Times New Roman"/>
          <w:sz w:val="24"/>
          <w:szCs w:val="24"/>
          <w:lang w:eastAsia="es-CO"/>
        </w:rPr>
        <w:t xml:space="preserve"> - Proceso penal</w:t>
      </w:r>
      <w:r w:rsidRPr="009B30D5">
        <w:rPr>
          <w:rFonts w:ascii="Bookman Old Style" w:eastAsia="Times New Roman" w:hAnsi="Bookman Old Style" w:cs="Times New Roman"/>
          <w:sz w:val="24"/>
          <w:szCs w:val="24"/>
          <w:lang w:eastAsia="es-CO"/>
        </w:rPr>
        <w:t>: defecto s</w:t>
      </w:r>
      <w:r w:rsidR="00EA7D25">
        <w:rPr>
          <w:rFonts w:ascii="Bookman Old Style" w:eastAsia="Times New Roman" w:hAnsi="Bookman Old Style" w:cs="Times New Roman"/>
          <w:sz w:val="24"/>
          <w:szCs w:val="24"/>
          <w:lang w:eastAsia="es-CO"/>
        </w:rPr>
        <w:t xml:space="preserve">ustantivo al negar la </w:t>
      </w:r>
      <w:r w:rsidRPr="009B30D5">
        <w:rPr>
          <w:rFonts w:ascii="Bookman Old Style" w:eastAsia="Times New Roman" w:hAnsi="Bookman Old Style" w:cs="Times New Roman"/>
          <w:sz w:val="24"/>
          <w:szCs w:val="24"/>
          <w:lang w:eastAsia="es-CO"/>
        </w:rPr>
        <w:t xml:space="preserve">sustitución de la medida de aseguramiento de detención preventiva en establecimiento carcelario por </w:t>
      </w:r>
      <w:r w:rsidR="00EA7D25">
        <w:rPr>
          <w:rFonts w:ascii="Bookman Old Style" w:eastAsia="Times New Roman" w:hAnsi="Bookman Old Style" w:cs="Times New Roman"/>
          <w:sz w:val="24"/>
          <w:szCs w:val="24"/>
          <w:lang w:eastAsia="es-CO"/>
        </w:rPr>
        <w:t>una no privativa de la libertad</w:t>
      </w:r>
      <w:r w:rsidRPr="009B30D5">
        <w:rPr>
          <w:rFonts w:ascii="Bookman Old Style" w:eastAsia="Times New Roman" w:hAnsi="Bookman Old Style" w:cs="Times New Roman"/>
          <w:sz w:val="24"/>
          <w:szCs w:val="24"/>
          <w:lang w:eastAsia="es-CO"/>
        </w:rPr>
        <w:t xml:space="preserve"> a</w:t>
      </w:r>
      <w:r w:rsidR="00EA7D25">
        <w:rPr>
          <w:rFonts w:ascii="Bookman Old Style" w:eastAsia="Times New Roman" w:hAnsi="Bookman Old Style" w:cs="Times New Roman"/>
          <w:sz w:val="24"/>
          <w:szCs w:val="24"/>
          <w:lang w:eastAsia="es-CO"/>
        </w:rPr>
        <w:t>l accionante</w:t>
      </w:r>
      <w:r w:rsidRPr="009B30D5">
        <w:rPr>
          <w:rFonts w:ascii="Bookman Old Style" w:eastAsia="Times New Roman" w:hAnsi="Bookman Old Style" w:cs="Times New Roman"/>
          <w:sz w:val="24"/>
          <w:szCs w:val="24"/>
          <w:lang w:eastAsia="es-CO"/>
        </w:rPr>
        <w:t xml:space="preserve"> procesado por delitos sexuales en contra de menor de catorce años, con base en una prohibición legal inexistente</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Tesis:</w:t>
      </w: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«Frente al cumplimiento de los requisitos específicos, es preciso recordar, como fue ampliamente explicado en la decisión STP6017-2016 proferida el 11 de mayo de 2016 dentro del radicado 84957, que "…las disposiciones legales que preventivamente autorizan la privación o restricción de la libertad del imputado son excepcionales y su interpretación restrictiva, de conformidad con el artículo 295 de la Ley 906 de 2004…", y por ende las disposiciones del Código de la Infancia y la Adolescencia no pueden utilizarse para eliminar de plano la posibilidad de aplicar cualquier instituto que pueda favorecer a los procesados por delitos contra menores de edad.</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En ese sentido, la Sala encuentra que si bien el numeral 1 del artículo 199 de la Ley 1098 de 2006 dispone que "Si hubiere mérito para proferir medida de aseguramiento en los casos del artículo 306 de la Ley 906 de 2004, esta consistirá siempre en detención en establecimiento de reclusión", el Legislador, en ejercicio de su libertad de configuración normativa también emitió la Ley 1786 de 2016, disposición posterior al Código de la Infancia y la Adolescencia, que facultó a las autoridades judiciales para sustituir sin excepciones esta medida de aseguramiento por una(s) menos restrictiva de la libertad, cuando se supere el plazo razonable previsto en el parágrafo 1° del artículo 307 de la Ley 906 de 2004.</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De esta manera, la Sala encuentra que si bien el Legislador previó que la detención preventiva en establecimiento de reclusión es la medida de aseguramiento a imponer en los casos de delitos contra la libertad, integridad y formación sexuales, o secuestro, cometidos contra menores de edad, también dispuso que esta pueda sustituirse por otra(s) medidas de aseguramiento no privativas de la libertad, si esta medida cautelar personal excede el término de un año.</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Se trata de una posibilidad normativa prevista en relación con todos los procesados, por lo que los jueces que ejercen la función constitucional de control de garantías no pueden sustraerse de la obligación de estudiar a fondo las solicitudes que sobre el particular se formulen.</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lastRenderedPageBreak/>
        <w:t>Además, en la decisión STP6278-2018 proferida el 08 de mayo de 2018 dentro del radicado 98015, esta Sala también reiteró que no hay incompatibilidad entre las garantías fundamentales del procesado y los derechos de los niños, niñas y adolescentes reconocidos como víctimas, pues, por el contrario, establecer mecanismos para procurar que el proceso penal se adelante sin dilaciones injustificadas redunda en beneficio de todos.</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De esta manera, y con base en las anteriores consideraciones, la Sala revisó las decisiones censuradas encontrando que las autoridades accionadas erraron en sus apreciaciones e incurrieron en un "defecto sustantivo", pues se basaron en una prohibición inexistente para relevarse de la obligación de analizar de fondo la solicitud del accionante.</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sz w:val="24"/>
          <w:szCs w:val="24"/>
          <w:lang w:eastAsia="es-CO"/>
        </w:rPr>
        <w:t>Así las cosas, la Sala procederá a revocar el fallo de tutela de primera instancia y concederá el amparo del derecho fundamental al debido proceso del accionante».</w:t>
      </w: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p>
    <w:p w:rsidR="009B30D5" w:rsidRPr="009B30D5" w:rsidRDefault="009B30D5" w:rsidP="009B30D5">
      <w:pPr>
        <w:rPr>
          <w:rFonts w:ascii="Bookman Old Style" w:eastAsia="Times New Roman" w:hAnsi="Bookman Old Style" w:cs="Times New Roman"/>
          <w:sz w:val="24"/>
          <w:szCs w:val="24"/>
          <w:lang w:eastAsia="es-CO"/>
        </w:rPr>
      </w:pPr>
      <w:r w:rsidRPr="009B30D5">
        <w:rPr>
          <w:rFonts w:ascii="Bookman Old Style" w:eastAsia="Times New Roman" w:hAnsi="Bookman Old Style" w:cs="Times New Roman"/>
          <w:b/>
          <w:bCs/>
          <w:color w:val="7D3B05"/>
          <w:sz w:val="24"/>
          <w:szCs w:val="24"/>
          <w:lang w:eastAsia="es-CO"/>
        </w:rPr>
        <w:t xml:space="preserve">JURISPRUDENCIA RELACIONADA: </w:t>
      </w:r>
      <w:r w:rsidRPr="009B30D5">
        <w:rPr>
          <w:rFonts w:ascii="Bookman Old Style" w:eastAsia="Times New Roman" w:hAnsi="Bookman Old Style" w:cs="Times New Roman"/>
          <w:sz w:val="24"/>
          <w:szCs w:val="24"/>
          <w:lang w:eastAsia="es-CO"/>
        </w:rPr>
        <w:t>Rad: STP6278-2018 STP6017-2016</w:t>
      </w:r>
    </w:p>
    <w:p w:rsidR="009B30D5" w:rsidRPr="009B30D5" w:rsidRDefault="009B30D5" w:rsidP="009B30D5">
      <w:pPr>
        <w:jc w:val="left"/>
        <w:rPr>
          <w:rFonts w:ascii="Bookman Old Style" w:eastAsia="Times New Roman" w:hAnsi="Bookman Old Style" w:cs="Times New Roman"/>
          <w:sz w:val="24"/>
          <w:szCs w:val="24"/>
          <w:lang w:eastAsia="es-CO"/>
        </w:rPr>
      </w:pPr>
    </w:p>
    <w:p w:rsidR="00B763C0" w:rsidRPr="009B30D5" w:rsidRDefault="00B763C0" w:rsidP="009B30D5">
      <w:pPr>
        <w:jc w:val="left"/>
        <w:rPr>
          <w:rFonts w:ascii="Bookman Old Style" w:eastAsia="Times New Roman" w:hAnsi="Bookman Old Style" w:cs="Times New Roman"/>
          <w:sz w:val="24"/>
          <w:szCs w:val="24"/>
          <w:lang w:eastAsia="es-CO"/>
        </w:rPr>
      </w:pPr>
    </w:p>
    <w:sectPr w:rsidR="00B763C0" w:rsidRPr="009B30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0D5"/>
    <w:rsid w:val="00357221"/>
    <w:rsid w:val="006A328E"/>
    <w:rsid w:val="009B30D5"/>
    <w:rsid w:val="00B763C0"/>
    <w:rsid w:val="00D06AFB"/>
    <w:rsid w:val="00EA7D25"/>
    <w:rsid w:val="00F04AD0"/>
    <w:rsid w:val="00F97D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FBF87-E551-4C4F-A07A-D5C4140D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97D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20710">
      <w:bodyDiv w:val="1"/>
      <w:marLeft w:val="0"/>
      <w:marRight w:val="0"/>
      <w:marTop w:val="0"/>
      <w:marBottom w:val="0"/>
      <w:divBdr>
        <w:top w:val="none" w:sz="0" w:space="0" w:color="auto"/>
        <w:left w:val="none" w:sz="0" w:space="0" w:color="auto"/>
        <w:bottom w:val="none" w:sz="0" w:space="0" w:color="auto"/>
        <w:right w:val="none" w:sz="0" w:space="0" w:color="auto"/>
      </w:divBdr>
      <w:divsChild>
        <w:div w:id="1650402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JUL2018/STP7003-2018.doc"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1728</Words>
  <Characters>9509</Characters>
  <Application>Microsoft Office Word</Application>
  <DocSecurity>0</DocSecurity>
  <Lines>79</Lines>
  <Paragraphs>22</Paragraphs>
  <ScaleCrop>false</ScaleCrop>
  <Company/>
  <LinksUpToDate>false</LinksUpToDate>
  <CharactersWithSpaces>11215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López Briceño</dc:creator>
  <cp:keywords/>
  <dc:description/>
  <cp:lastModifiedBy>Jorge Alexander López Briceño</cp:lastModifiedBy>
  <cp:revision>6</cp:revision>
  <dcterms:created xsi:type="dcterms:W3CDTF">2018-07-06T13:57:00Z</dcterms:created>
  <dcterms:modified xsi:type="dcterms:W3CDTF">2021-03-17T21:54:00Z</dcterms:modified>
</cp:coreProperties>
</file>