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06B70B" w14:textId="00B0D170" w:rsidR="00FB7F6F" w:rsidRPr="00FB7F6F" w:rsidRDefault="00FB7F6F" w:rsidP="00FB7F6F">
      <w:pPr>
        <w:spacing w:after="0" w:line="240" w:lineRule="auto"/>
        <w:jc w:val="center"/>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noProof/>
          <w:color w:val="000000"/>
          <w:sz w:val="24"/>
          <w:szCs w:val="24"/>
          <w:lang w:eastAsia="es-CO"/>
        </w:rPr>
        <w:drawing>
          <wp:inline distT="0" distB="0" distL="0" distR="0" wp14:anchorId="262C538D" wp14:editId="6417D0C4">
            <wp:extent cx="1394460" cy="13106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4460" cy="1310640"/>
                    </a:xfrm>
                    <a:prstGeom prst="rect">
                      <a:avLst/>
                    </a:prstGeom>
                    <a:noFill/>
                    <a:ln>
                      <a:noFill/>
                    </a:ln>
                  </pic:spPr>
                </pic:pic>
              </a:graphicData>
            </a:graphic>
          </wp:inline>
        </w:drawing>
      </w:r>
    </w:p>
    <w:p w14:paraId="06304EDC" w14:textId="77777777" w:rsidR="00FB7F6F" w:rsidRPr="00FB7F6F" w:rsidRDefault="00FB7F6F" w:rsidP="00FB7F6F">
      <w:pPr>
        <w:spacing w:after="0" w:line="240" w:lineRule="auto"/>
        <w:rPr>
          <w:rFonts w:ascii="Bookman Old Style" w:eastAsia="Times New Roman" w:hAnsi="Bookman Old Style" w:cs="Times New Roman"/>
          <w:color w:val="000000"/>
          <w:sz w:val="24"/>
          <w:szCs w:val="24"/>
          <w:lang w:eastAsia="es-CO"/>
        </w:rPr>
      </w:pPr>
    </w:p>
    <w:p w14:paraId="1DA9210D" w14:textId="198E611D" w:rsidR="00FB7F6F" w:rsidRPr="00FB7F6F" w:rsidRDefault="00FB7F6F" w:rsidP="00FB7F6F">
      <w:pPr>
        <w:spacing w:after="0" w:line="240" w:lineRule="auto"/>
        <w:rPr>
          <w:rFonts w:ascii="Bookman Old Style" w:eastAsia="Times New Roman" w:hAnsi="Bookman Old Style" w:cs="Times New Roman"/>
          <w:sz w:val="24"/>
          <w:szCs w:val="24"/>
          <w:lang w:eastAsia="es-CO"/>
        </w:rPr>
      </w:pPr>
    </w:p>
    <w:p w14:paraId="7C65B388" w14:textId="77777777" w:rsidR="00FB7F6F" w:rsidRPr="00FB7F6F" w:rsidRDefault="00FB7F6F" w:rsidP="00FB7F6F">
      <w:pPr>
        <w:spacing w:after="0" w:line="240" w:lineRule="auto"/>
        <w:jc w:val="center"/>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b/>
          <w:bCs/>
          <w:color w:val="000000"/>
          <w:sz w:val="24"/>
          <w:szCs w:val="24"/>
          <w:lang w:eastAsia="es-CO"/>
        </w:rPr>
        <w:t>TUTELA</w:t>
      </w:r>
    </w:p>
    <w:p w14:paraId="79565AB3" w14:textId="77777777" w:rsidR="00FB7F6F" w:rsidRPr="00FB7F6F" w:rsidRDefault="00FB7F6F" w:rsidP="00FB7F6F">
      <w:pPr>
        <w:spacing w:after="0" w:line="240" w:lineRule="auto"/>
        <w:rPr>
          <w:rFonts w:ascii="Bookman Old Style" w:eastAsia="Times New Roman" w:hAnsi="Bookman Old Style" w:cs="Times New Roman"/>
          <w:color w:val="000000"/>
          <w:sz w:val="24"/>
          <w:szCs w:val="24"/>
          <w:lang w:eastAsia="es-CO"/>
        </w:rPr>
      </w:pPr>
    </w:p>
    <w:p w14:paraId="0A01BE15" w14:textId="77777777" w:rsidR="00FB7F6F" w:rsidRPr="00FB7F6F" w:rsidRDefault="00FB7F6F" w:rsidP="00FB7F6F">
      <w:pPr>
        <w:spacing w:after="0" w:line="240" w:lineRule="auto"/>
        <w:rPr>
          <w:rFonts w:ascii="Bookman Old Style" w:eastAsia="Times New Roman" w:hAnsi="Bookman Old Style" w:cs="Times New Roman"/>
          <w:color w:val="000000"/>
          <w:sz w:val="24"/>
          <w:szCs w:val="24"/>
          <w:lang w:eastAsia="es-CO"/>
        </w:rPr>
      </w:pPr>
    </w:p>
    <w:p w14:paraId="64A55101" w14:textId="00E2707B" w:rsidR="00FB7F6F" w:rsidRPr="00FB7F6F" w:rsidRDefault="00FB7F6F" w:rsidP="00FB7F6F">
      <w:pPr>
        <w:spacing w:after="0" w:line="240" w:lineRule="auto"/>
        <w:rPr>
          <w:rFonts w:ascii="Bookman Old Style" w:eastAsia="Times New Roman" w:hAnsi="Bookman Old Style" w:cs="Times New Roman"/>
          <w:sz w:val="24"/>
          <w:szCs w:val="24"/>
          <w:lang w:eastAsia="es-CO"/>
        </w:rPr>
      </w:pPr>
    </w:p>
    <w:p w14:paraId="35218315" w14:textId="77777777" w:rsidR="00FB7F6F" w:rsidRPr="00FB7F6F" w:rsidRDefault="00FB7F6F" w:rsidP="00FB7F6F">
      <w:pPr>
        <w:spacing w:after="0" w:line="240" w:lineRule="auto"/>
        <w:jc w:val="center"/>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b/>
          <w:bCs/>
          <w:color w:val="000000"/>
          <w:sz w:val="24"/>
          <w:szCs w:val="24"/>
          <w:lang w:eastAsia="es-CO"/>
        </w:rPr>
        <w:t>REPORTE DE CONSULTA</w:t>
      </w:r>
    </w:p>
    <w:p w14:paraId="314B04DF" w14:textId="77777777" w:rsidR="00FB7F6F" w:rsidRPr="00FB7F6F" w:rsidRDefault="00FB7F6F" w:rsidP="00FB7F6F">
      <w:pPr>
        <w:spacing w:after="0" w:line="240" w:lineRule="auto"/>
        <w:rPr>
          <w:rFonts w:ascii="Bookman Old Style" w:eastAsia="Times New Roman" w:hAnsi="Bookman Old Style" w:cs="Times New Roman"/>
          <w:color w:val="000000"/>
          <w:sz w:val="24"/>
          <w:szCs w:val="24"/>
          <w:lang w:eastAsia="es-CO"/>
        </w:rPr>
      </w:pPr>
    </w:p>
    <w:p w14:paraId="00CF76C8" w14:textId="1B239688" w:rsidR="00FB7F6F" w:rsidRPr="00FB7F6F" w:rsidRDefault="00FB7F6F" w:rsidP="00FB7F6F">
      <w:pPr>
        <w:spacing w:after="0" w:line="240" w:lineRule="auto"/>
        <w:rPr>
          <w:rFonts w:ascii="Bookman Old Style" w:eastAsia="Times New Roman" w:hAnsi="Bookman Old Style" w:cs="Times New Roman"/>
          <w:sz w:val="24"/>
          <w:szCs w:val="24"/>
          <w:lang w:eastAsia="es-CO"/>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10"/>
      </w:tblGrid>
      <w:tr w:rsidR="00FB7F6F" w:rsidRPr="00FB7F6F" w14:paraId="278806B1" w14:textId="77777777" w:rsidTr="00FB7F6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0C78D3" w14:textId="77777777" w:rsidR="00FB7F6F" w:rsidRPr="00FB7F6F" w:rsidRDefault="00FB7F6F" w:rsidP="00FB7F6F">
            <w:pPr>
              <w:shd w:val="clear" w:color="auto" w:fill="BBFFAA"/>
              <w:spacing w:after="0" w:line="240" w:lineRule="auto"/>
              <w:jc w:val="center"/>
              <w:divId w:val="815420297"/>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b/>
                <w:bCs/>
                <w:sz w:val="24"/>
                <w:szCs w:val="24"/>
                <w:lang w:eastAsia="es-CO"/>
              </w:rPr>
              <w:t>RELEVANTE</w:t>
            </w:r>
          </w:p>
          <w:p w14:paraId="0590BE54"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p>
          <w:p w14:paraId="238409E7" w14:textId="37C7C301"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b/>
                <w:bCs/>
                <w:sz w:val="24"/>
                <w:szCs w:val="24"/>
                <w:lang w:eastAsia="es-CO"/>
              </w:rPr>
              <w:t>SALA DE CASACIÓN CIVIL Y AGRARIA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95"/>
              <w:gridCol w:w="137"/>
              <w:gridCol w:w="4958"/>
            </w:tblGrid>
            <w:tr w:rsidR="00FB7F6F" w:rsidRPr="00FB7F6F" w14:paraId="53808638" w14:textId="77777777">
              <w:trPr>
                <w:tblCellSpacing w:w="15" w:type="dxa"/>
              </w:trPr>
              <w:tc>
                <w:tcPr>
                  <w:tcW w:w="3750" w:type="dxa"/>
                  <w:hideMark/>
                </w:tcPr>
                <w:p w14:paraId="1B7C9A54"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b/>
                      <w:bCs/>
                      <w:color w:val="7D3B05"/>
                      <w:sz w:val="24"/>
                      <w:szCs w:val="24"/>
                      <w:lang w:eastAsia="es-CO"/>
                    </w:rPr>
                    <w:t>ID</w:t>
                  </w:r>
                </w:p>
              </w:tc>
              <w:tc>
                <w:tcPr>
                  <w:tcW w:w="75" w:type="dxa"/>
                  <w:hideMark/>
                </w:tcPr>
                <w:p w14:paraId="16395B94"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w:t>
                  </w:r>
                </w:p>
              </w:tc>
              <w:tc>
                <w:tcPr>
                  <w:tcW w:w="0" w:type="auto"/>
                  <w:vAlign w:val="center"/>
                  <w:hideMark/>
                </w:tcPr>
                <w:p w14:paraId="317AEA70" w14:textId="77777777" w:rsidR="00FB7F6F" w:rsidRPr="00FB7F6F" w:rsidRDefault="00FB7F6F" w:rsidP="00FB7F6F">
                  <w:pPr>
                    <w:spacing w:after="0" w:line="240" w:lineRule="auto"/>
                    <w:jc w:val="both"/>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704034</w:t>
                  </w:r>
                </w:p>
              </w:tc>
            </w:tr>
            <w:tr w:rsidR="00FB7F6F" w:rsidRPr="00FB7F6F" w14:paraId="5AA57035" w14:textId="77777777">
              <w:trPr>
                <w:tblCellSpacing w:w="15" w:type="dxa"/>
              </w:trPr>
              <w:tc>
                <w:tcPr>
                  <w:tcW w:w="3750" w:type="dxa"/>
                  <w:hideMark/>
                </w:tcPr>
                <w:p w14:paraId="04A9E508"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b/>
                      <w:bCs/>
                      <w:color w:val="7D3B05"/>
                      <w:sz w:val="24"/>
                      <w:szCs w:val="24"/>
                      <w:lang w:eastAsia="es-CO"/>
                    </w:rPr>
                    <w:t>M. PONENTE</w:t>
                  </w:r>
                </w:p>
              </w:tc>
              <w:tc>
                <w:tcPr>
                  <w:tcW w:w="75" w:type="dxa"/>
                  <w:hideMark/>
                </w:tcPr>
                <w:p w14:paraId="04C41510"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w:t>
                  </w:r>
                </w:p>
              </w:tc>
              <w:tc>
                <w:tcPr>
                  <w:tcW w:w="0" w:type="auto"/>
                  <w:vAlign w:val="center"/>
                  <w:hideMark/>
                </w:tcPr>
                <w:p w14:paraId="7168C048" w14:textId="77777777" w:rsidR="00FB7F6F" w:rsidRPr="00FB7F6F" w:rsidRDefault="00FB7F6F" w:rsidP="00FB7F6F">
                  <w:pPr>
                    <w:spacing w:after="0" w:line="240" w:lineRule="auto"/>
                    <w:jc w:val="both"/>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OCTAVIO AUGUSTO TEJEIRO DUQUE</w:t>
                  </w:r>
                </w:p>
              </w:tc>
            </w:tr>
            <w:tr w:rsidR="00FB7F6F" w:rsidRPr="00FB7F6F" w14:paraId="52F84C6F" w14:textId="77777777">
              <w:trPr>
                <w:tblCellSpacing w:w="15" w:type="dxa"/>
              </w:trPr>
              <w:tc>
                <w:tcPr>
                  <w:tcW w:w="3750" w:type="dxa"/>
                  <w:hideMark/>
                </w:tcPr>
                <w:p w14:paraId="17CE8A62"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b/>
                      <w:bCs/>
                      <w:color w:val="7D3B05"/>
                      <w:sz w:val="24"/>
                      <w:szCs w:val="24"/>
                      <w:lang w:eastAsia="es-CO"/>
                    </w:rPr>
                    <w:t>NÚMERO DE PROCESO</w:t>
                  </w:r>
                </w:p>
              </w:tc>
              <w:tc>
                <w:tcPr>
                  <w:tcW w:w="75" w:type="dxa"/>
                  <w:hideMark/>
                </w:tcPr>
                <w:p w14:paraId="699F7F02"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w:t>
                  </w:r>
                </w:p>
              </w:tc>
              <w:tc>
                <w:tcPr>
                  <w:tcW w:w="0" w:type="auto"/>
                  <w:vAlign w:val="center"/>
                  <w:hideMark/>
                </w:tcPr>
                <w:p w14:paraId="26D84C6A" w14:textId="77777777" w:rsidR="00FB7F6F" w:rsidRPr="00FB7F6F" w:rsidRDefault="00FB7F6F" w:rsidP="00FB7F6F">
                  <w:pPr>
                    <w:spacing w:after="0" w:line="240" w:lineRule="auto"/>
                    <w:jc w:val="both"/>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T 1569322080002020-00017-01</w:t>
                  </w:r>
                </w:p>
              </w:tc>
            </w:tr>
            <w:tr w:rsidR="00FB7F6F" w:rsidRPr="00FB7F6F" w14:paraId="3A5A7AC3" w14:textId="77777777">
              <w:trPr>
                <w:tblCellSpacing w:w="15" w:type="dxa"/>
              </w:trPr>
              <w:tc>
                <w:tcPr>
                  <w:tcW w:w="3750" w:type="dxa"/>
                  <w:hideMark/>
                </w:tcPr>
                <w:p w14:paraId="1A991492"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b/>
                      <w:bCs/>
                      <w:color w:val="7D3B05"/>
                      <w:sz w:val="24"/>
                      <w:szCs w:val="24"/>
                      <w:lang w:eastAsia="es-CO"/>
                    </w:rPr>
                    <w:t>NÚMERO DE PROVIDENCIA</w:t>
                  </w:r>
                </w:p>
              </w:tc>
              <w:tc>
                <w:tcPr>
                  <w:tcW w:w="75" w:type="dxa"/>
                  <w:hideMark/>
                </w:tcPr>
                <w:p w14:paraId="7DB6DB22"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w:t>
                  </w:r>
                </w:p>
              </w:tc>
              <w:tc>
                <w:tcPr>
                  <w:tcW w:w="0" w:type="auto"/>
                  <w:vAlign w:val="center"/>
                  <w:hideMark/>
                </w:tcPr>
                <w:p w14:paraId="6B01AD19" w14:textId="7258FCD5" w:rsidR="00FB7F6F" w:rsidRPr="00FB7F6F" w:rsidRDefault="001F22AC" w:rsidP="00FB7F6F">
                  <w:pPr>
                    <w:spacing w:after="0" w:line="240" w:lineRule="auto"/>
                    <w:jc w:val="both"/>
                    <w:rPr>
                      <w:rFonts w:ascii="Bookman Old Style" w:eastAsia="Times New Roman" w:hAnsi="Bookman Old Style" w:cs="Times New Roman"/>
                      <w:sz w:val="24"/>
                      <w:szCs w:val="24"/>
                      <w:lang w:eastAsia="es-CO"/>
                    </w:rPr>
                  </w:pPr>
                  <w:hyperlink r:id="rId5" w:history="1">
                    <w:r w:rsidR="00FB7F6F" w:rsidRPr="001F22AC">
                      <w:rPr>
                        <w:rStyle w:val="Hipervnculo"/>
                        <w:rFonts w:ascii="Bookman Old Style" w:eastAsia="Times New Roman" w:hAnsi="Bookman Old Style" w:cs="Times New Roman"/>
                        <w:sz w:val="24"/>
                        <w:szCs w:val="24"/>
                        <w:lang w:eastAsia="es-CO"/>
                      </w:rPr>
                      <w:t>STC5615-2020</w:t>
                    </w:r>
                  </w:hyperlink>
                </w:p>
              </w:tc>
            </w:tr>
            <w:tr w:rsidR="00FB7F6F" w:rsidRPr="00FB7F6F" w14:paraId="0CF0DA1E" w14:textId="77777777">
              <w:trPr>
                <w:tblCellSpacing w:w="15" w:type="dxa"/>
              </w:trPr>
              <w:tc>
                <w:tcPr>
                  <w:tcW w:w="3750" w:type="dxa"/>
                  <w:hideMark/>
                </w:tcPr>
                <w:p w14:paraId="3C246D39"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b/>
                      <w:bCs/>
                      <w:color w:val="7D3B05"/>
                      <w:sz w:val="24"/>
                      <w:szCs w:val="24"/>
                      <w:lang w:eastAsia="es-CO"/>
                    </w:rPr>
                    <w:t>PROCEDENCIA</w:t>
                  </w:r>
                </w:p>
              </w:tc>
              <w:tc>
                <w:tcPr>
                  <w:tcW w:w="75" w:type="dxa"/>
                  <w:hideMark/>
                </w:tcPr>
                <w:p w14:paraId="5C7EEA23"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w:t>
                  </w:r>
                </w:p>
              </w:tc>
              <w:tc>
                <w:tcPr>
                  <w:tcW w:w="0" w:type="auto"/>
                  <w:vAlign w:val="center"/>
                  <w:hideMark/>
                </w:tcPr>
                <w:p w14:paraId="0BE93708" w14:textId="77777777" w:rsidR="00FB7F6F" w:rsidRPr="00FB7F6F" w:rsidRDefault="00FB7F6F" w:rsidP="00FB7F6F">
                  <w:pPr>
                    <w:spacing w:after="0" w:line="240" w:lineRule="auto"/>
                    <w:jc w:val="both"/>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Tribunal Superior Sala Única de Santa Rosa de Viterbo</w:t>
                  </w:r>
                </w:p>
              </w:tc>
            </w:tr>
            <w:tr w:rsidR="00FB7F6F" w:rsidRPr="00FB7F6F" w14:paraId="25F922EA" w14:textId="77777777">
              <w:trPr>
                <w:tblCellSpacing w:w="15" w:type="dxa"/>
              </w:trPr>
              <w:tc>
                <w:tcPr>
                  <w:tcW w:w="3750" w:type="dxa"/>
                  <w:hideMark/>
                </w:tcPr>
                <w:p w14:paraId="0EEC6AD2"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b/>
                      <w:bCs/>
                      <w:color w:val="7D3B05"/>
                      <w:sz w:val="24"/>
                      <w:szCs w:val="24"/>
                      <w:lang w:eastAsia="es-CO"/>
                    </w:rPr>
                    <w:t>CLASE DE ACTUACIÓN</w:t>
                  </w:r>
                </w:p>
              </w:tc>
              <w:tc>
                <w:tcPr>
                  <w:tcW w:w="75" w:type="dxa"/>
                  <w:hideMark/>
                </w:tcPr>
                <w:p w14:paraId="1ECABD6D"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w:t>
                  </w:r>
                </w:p>
              </w:tc>
              <w:tc>
                <w:tcPr>
                  <w:tcW w:w="0" w:type="auto"/>
                  <w:vAlign w:val="center"/>
                  <w:hideMark/>
                </w:tcPr>
                <w:p w14:paraId="62D1CED8" w14:textId="77777777" w:rsidR="00FB7F6F" w:rsidRPr="00FB7F6F" w:rsidRDefault="00FB7F6F" w:rsidP="00FB7F6F">
                  <w:pPr>
                    <w:spacing w:after="0" w:line="240" w:lineRule="auto"/>
                    <w:jc w:val="both"/>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ACCIÓN DE TUTELA - SEGUNDA INSTANCIA</w:t>
                  </w:r>
                </w:p>
              </w:tc>
            </w:tr>
            <w:tr w:rsidR="00FB7F6F" w:rsidRPr="00FB7F6F" w14:paraId="4D9220AB" w14:textId="77777777">
              <w:trPr>
                <w:tblCellSpacing w:w="15" w:type="dxa"/>
              </w:trPr>
              <w:tc>
                <w:tcPr>
                  <w:tcW w:w="3750" w:type="dxa"/>
                  <w:hideMark/>
                </w:tcPr>
                <w:p w14:paraId="61BD3ACE"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b/>
                      <w:bCs/>
                      <w:color w:val="7D3B05"/>
                      <w:sz w:val="24"/>
                      <w:szCs w:val="24"/>
                      <w:lang w:eastAsia="es-CO"/>
                    </w:rPr>
                    <w:t>TIPO DE PROVIDENCIA</w:t>
                  </w:r>
                </w:p>
              </w:tc>
              <w:tc>
                <w:tcPr>
                  <w:tcW w:w="75" w:type="dxa"/>
                  <w:hideMark/>
                </w:tcPr>
                <w:p w14:paraId="3385DBD6"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w:t>
                  </w:r>
                </w:p>
              </w:tc>
              <w:tc>
                <w:tcPr>
                  <w:tcW w:w="0" w:type="auto"/>
                  <w:vAlign w:val="center"/>
                  <w:hideMark/>
                </w:tcPr>
                <w:p w14:paraId="314F62E8" w14:textId="77777777" w:rsidR="00FB7F6F" w:rsidRPr="00FB7F6F" w:rsidRDefault="00FB7F6F" w:rsidP="00FB7F6F">
                  <w:pPr>
                    <w:spacing w:after="0" w:line="240" w:lineRule="auto"/>
                    <w:jc w:val="both"/>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SENTENCIA</w:t>
                  </w:r>
                </w:p>
              </w:tc>
            </w:tr>
            <w:tr w:rsidR="00FB7F6F" w:rsidRPr="00FB7F6F" w14:paraId="2A014683" w14:textId="77777777">
              <w:trPr>
                <w:tblCellSpacing w:w="15" w:type="dxa"/>
              </w:trPr>
              <w:tc>
                <w:tcPr>
                  <w:tcW w:w="3750" w:type="dxa"/>
                  <w:hideMark/>
                </w:tcPr>
                <w:p w14:paraId="79FC1769"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b/>
                      <w:bCs/>
                      <w:color w:val="7D3B05"/>
                      <w:sz w:val="24"/>
                      <w:szCs w:val="24"/>
                      <w:lang w:eastAsia="es-CO"/>
                    </w:rPr>
                    <w:t>FECHA</w:t>
                  </w:r>
                </w:p>
              </w:tc>
              <w:tc>
                <w:tcPr>
                  <w:tcW w:w="75" w:type="dxa"/>
                  <w:hideMark/>
                </w:tcPr>
                <w:p w14:paraId="571B086F"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w:t>
                  </w:r>
                </w:p>
              </w:tc>
              <w:tc>
                <w:tcPr>
                  <w:tcW w:w="0" w:type="auto"/>
                  <w:vAlign w:val="center"/>
                  <w:hideMark/>
                </w:tcPr>
                <w:p w14:paraId="431F7CBD" w14:textId="77777777" w:rsidR="00FB7F6F" w:rsidRPr="00FB7F6F" w:rsidRDefault="00FB7F6F" w:rsidP="00FB7F6F">
                  <w:pPr>
                    <w:spacing w:after="0" w:line="240" w:lineRule="auto"/>
                    <w:jc w:val="both"/>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18/08/2020</w:t>
                  </w:r>
                </w:p>
              </w:tc>
            </w:tr>
            <w:tr w:rsidR="00FB7F6F" w:rsidRPr="00FB7F6F" w14:paraId="108C4147" w14:textId="77777777">
              <w:trPr>
                <w:tblCellSpacing w:w="15" w:type="dxa"/>
              </w:trPr>
              <w:tc>
                <w:tcPr>
                  <w:tcW w:w="3750" w:type="dxa"/>
                  <w:hideMark/>
                </w:tcPr>
                <w:p w14:paraId="0DFADFFE"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b/>
                      <w:bCs/>
                      <w:color w:val="7D3B05"/>
                      <w:sz w:val="24"/>
                      <w:szCs w:val="24"/>
                      <w:lang w:eastAsia="es-CO"/>
                    </w:rPr>
                    <w:t>DECISIÓN</w:t>
                  </w:r>
                </w:p>
              </w:tc>
              <w:tc>
                <w:tcPr>
                  <w:tcW w:w="75" w:type="dxa"/>
                  <w:hideMark/>
                </w:tcPr>
                <w:p w14:paraId="6C6FC2ED"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w:t>
                  </w:r>
                </w:p>
              </w:tc>
              <w:tc>
                <w:tcPr>
                  <w:tcW w:w="0" w:type="auto"/>
                  <w:vAlign w:val="center"/>
                  <w:hideMark/>
                </w:tcPr>
                <w:p w14:paraId="1695EC05" w14:textId="77777777" w:rsidR="00FB7F6F" w:rsidRPr="00FB7F6F" w:rsidRDefault="00FB7F6F" w:rsidP="00FB7F6F">
                  <w:pPr>
                    <w:spacing w:after="0" w:line="240" w:lineRule="auto"/>
                    <w:jc w:val="both"/>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CONFIRMA NIEGA TUTELA</w:t>
                  </w:r>
                </w:p>
              </w:tc>
            </w:tr>
            <w:tr w:rsidR="00FB7F6F" w:rsidRPr="00FB7F6F" w14:paraId="577AE06F" w14:textId="77777777">
              <w:trPr>
                <w:tblCellSpacing w:w="15" w:type="dxa"/>
              </w:trPr>
              <w:tc>
                <w:tcPr>
                  <w:tcW w:w="3750" w:type="dxa"/>
                  <w:hideMark/>
                </w:tcPr>
                <w:p w14:paraId="6FB102E1"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b/>
                      <w:bCs/>
                      <w:color w:val="7D3B05"/>
                      <w:sz w:val="24"/>
                      <w:szCs w:val="24"/>
                      <w:lang w:eastAsia="es-CO"/>
                    </w:rPr>
                    <w:t>ACCIONADO</w:t>
                  </w:r>
                </w:p>
              </w:tc>
              <w:tc>
                <w:tcPr>
                  <w:tcW w:w="75" w:type="dxa"/>
                  <w:hideMark/>
                </w:tcPr>
                <w:p w14:paraId="74C85384"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w:t>
                  </w:r>
                </w:p>
              </w:tc>
              <w:tc>
                <w:tcPr>
                  <w:tcW w:w="0" w:type="auto"/>
                  <w:vAlign w:val="center"/>
                  <w:hideMark/>
                </w:tcPr>
                <w:p w14:paraId="4438F0CE" w14:textId="77777777" w:rsidR="00FB7F6F" w:rsidRPr="00FB7F6F" w:rsidRDefault="00FB7F6F" w:rsidP="00FB7F6F">
                  <w:pPr>
                    <w:spacing w:after="0" w:line="240" w:lineRule="auto"/>
                    <w:jc w:val="both"/>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Juzgados Primero Promiscuo Municipal de Paipa y Tercero Civil del Circuito de Duitama</w:t>
                  </w:r>
                </w:p>
              </w:tc>
            </w:tr>
            <w:tr w:rsidR="00FB7F6F" w:rsidRPr="00FB7F6F" w14:paraId="4A4D5459" w14:textId="77777777">
              <w:trPr>
                <w:tblCellSpacing w:w="15" w:type="dxa"/>
              </w:trPr>
              <w:tc>
                <w:tcPr>
                  <w:tcW w:w="3750" w:type="dxa"/>
                  <w:hideMark/>
                </w:tcPr>
                <w:p w14:paraId="2000D4BF"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b/>
                      <w:bCs/>
                      <w:color w:val="7D3B05"/>
                      <w:sz w:val="24"/>
                      <w:szCs w:val="24"/>
                      <w:lang w:eastAsia="es-CO"/>
                    </w:rPr>
                    <w:t>ACCIONANTE</w:t>
                  </w:r>
                </w:p>
              </w:tc>
              <w:tc>
                <w:tcPr>
                  <w:tcW w:w="75" w:type="dxa"/>
                  <w:hideMark/>
                </w:tcPr>
                <w:p w14:paraId="5AEE75BB"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w:t>
                  </w:r>
                </w:p>
              </w:tc>
              <w:tc>
                <w:tcPr>
                  <w:tcW w:w="0" w:type="auto"/>
                  <w:vAlign w:val="center"/>
                  <w:hideMark/>
                </w:tcPr>
                <w:p w14:paraId="092778AE" w14:textId="77777777" w:rsidR="00FB7F6F" w:rsidRPr="00FB7F6F" w:rsidRDefault="00FB7F6F" w:rsidP="00FB7F6F">
                  <w:pPr>
                    <w:spacing w:after="0" w:line="240" w:lineRule="auto"/>
                    <w:jc w:val="both"/>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 xml:space="preserve">María Cecilia y </w:t>
                  </w:r>
                  <w:proofErr w:type="spellStart"/>
                  <w:r w:rsidRPr="00FB7F6F">
                    <w:rPr>
                      <w:rFonts w:ascii="Bookman Old Style" w:eastAsia="Times New Roman" w:hAnsi="Bookman Old Style" w:cs="Times New Roman"/>
                      <w:sz w:val="24"/>
                      <w:szCs w:val="24"/>
                      <w:lang w:eastAsia="es-CO"/>
                    </w:rPr>
                    <w:t>Delfa</w:t>
                  </w:r>
                  <w:proofErr w:type="spellEnd"/>
                  <w:r w:rsidRPr="00FB7F6F">
                    <w:rPr>
                      <w:rFonts w:ascii="Bookman Old Style" w:eastAsia="Times New Roman" w:hAnsi="Bookman Old Style" w:cs="Times New Roman"/>
                      <w:sz w:val="24"/>
                      <w:szCs w:val="24"/>
                      <w:lang w:eastAsia="es-CO"/>
                    </w:rPr>
                    <w:t xml:space="preserve"> Higuera López</w:t>
                  </w:r>
                </w:p>
              </w:tc>
            </w:tr>
            <w:tr w:rsidR="00FB7F6F" w:rsidRPr="00FB7F6F" w14:paraId="05E3539E" w14:textId="77777777">
              <w:trPr>
                <w:tblCellSpacing w:w="15" w:type="dxa"/>
              </w:trPr>
              <w:tc>
                <w:tcPr>
                  <w:tcW w:w="3750" w:type="dxa"/>
                  <w:hideMark/>
                </w:tcPr>
                <w:p w14:paraId="13A9A976"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b/>
                      <w:bCs/>
                      <w:color w:val="7D3B05"/>
                      <w:sz w:val="24"/>
                      <w:szCs w:val="24"/>
                      <w:lang w:eastAsia="es-CO"/>
                    </w:rPr>
                    <w:t>AGENTE OFICIOSO</w:t>
                  </w:r>
                </w:p>
              </w:tc>
              <w:tc>
                <w:tcPr>
                  <w:tcW w:w="75" w:type="dxa"/>
                  <w:hideMark/>
                </w:tcPr>
                <w:p w14:paraId="6ED6C026"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w:t>
                  </w:r>
                </w:p>
              </w:tc>
              <w:tc>
                <w:tcPr>
                  <w:tcW w:w="0" w:type="auto"/>
                  <w:vAlign w:val="center"/>
                  <w:hideMark/>
                </w:tcPr>
                <w:p w14:paraId="3F96590E" w14:textId="77777777" w:rsidR="00FB7F6F" w:rsidRPr="00FB7F6F" w:rsidRDefault="00FB7F6F" w:rsidP="00FB7F6F">
                  <w:pPr>
                    <w:spacing w:after="0" w:line="240" w:lineRule="auto"/>
                    <w:jc w:val="both"/>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Luis Alfonso Sanabria Niño</w:t>
                  </w:r>
                </w:p>
              </w:tc>
            </w:tr>
            <w:tr w:rsidR="00FB7F6F" w:rsidRPr="00FB7F6F" w14:paraId="16F87F9F" w14:textId="77777777">
              <w:trPr>
                <w:tblCellSpacing w:w="15" w:type="dxa"/>
              </w:trPr>
              <w:tc>
                <w:tcPr>
                  <w:tcW w:w="3750" w:type="dxa"/>
                  <w:hideMark/>
                </w:tcPr>
                <w:p w14:paraId="7D0B8C97"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b/>
                      <w:bCs/>
                      <w:color w:val="7D3B05"/>
                      <w:sz w:val="24"/>
                      <w:szCs w:val="24"/>
                      <w:lang w:eastAsia="es-CO"/>
                    </w:rPr>
                    <w:t>FUENTE FORMAL</w:t>
                  </w:r>
                </w:p>
              </w:tc>
              <w:tc>
                <w:tcPr>
                  <w:tcW w:w="75" w:type="dxa"/>
                  <w:hideMark/>
                </w:tcPr>
                <w:p w14:paraId="3F1D85E6"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w:t>
                  </w:r>
                </w:p>
              </w:tc>
              <w:tc>
                <w:tcPr>
                  <w:tcW w:w="0" w:type="auto"/>
                  <w:vAlign w:val="center"/>
                  <w:hideMark/>
                </w:tcPr>
                <w:p w14:paraId="6AA6AAEF" w14:textId="77777777" w:rsidR="00FB7F6F" w:rsidRPr="00FB7F6F" w:rsidRDefault="00FB7F6F" w:rsidP="00FB7F6F">
                  <w:pPr>
                    <w:spacing w:after="0" w:line="240" w:lineRule="auto"/>
                    <w:jc w:val="both"/>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Código Civil art. 946 y 1325</w:t>
                  </w:r>
                </w:p>
              </w:tc>
            </w:tr>
          </w:tbl>
          <w:p w14:paraId="5644C6B6"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p>
        </w:tc>
      </w:tr>
    </w:tbl>
    <w:p w14:paraId="28756E39" w14:textId="77777777" w:rsidR="00FB7F6F" w:rsidRPr="00FB7F6F" w:rsidRDefault="00FB7F6F" w:rsidP="00FB7F6F">
      <w:pPr>
        <w:spacing w:after="0" w:line="240" w:lineRule="auto"/>
        <w:jc w:val="both"/>
        <w:rPr>
          <w:rFonts w:ascii="Bookman Old Style" w:eastAsia="Times New Roman" w:hAnsi="Bookman Old Style" w:cs="Times New Roman"/>
          <w:vanish/>
          <w:color w:val="000000"/>
          <w:sz w:val="24"/>
          <w:szCs w:val="24"/>
          <w:lang w:eastAsia="es-CO"/>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10"/>
      </w:tblGrid>
      <w:tr w:rsidR="00FB7F6F" w:rsidRPr="00FB7F6F" w14:paraId="235772E6" w14:textId="77777777" w:rsidTr="00FB7F6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E99501"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p>
          <w:p w14:paraId="3C1243D8" w14:textId="1CE26280" w:rsidR="00FB7F6F" w:rsidRPr="00FB7F6F" w:rsidRDefault="00FB7F6F" w:rsidP="00FB7F6F">
            <w:pPr>
              <w:spacing w:after="0" w:line="240" w:lineRule="auto"/>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b/>
                <w:bCs/>
                <w:color w:val="7D3B05"/>
                <w:sz w:val="24"/>
                <w:szCs w:val="24"/>
                <w:lang w:eastAsia="es-CO"/>
              </w:rPr>
              <w:t>ASUNTO:</w:t>
            </w:r>
          </w:p>
          <w:p w14:paraId="23C185B8" w14:textId="77777777" w:rsidR="00FB7F6F" w:rsidRPr="00FB7F6F" w:rsidRDefault="00FB7F6F" w:rsidP="00FB7F6F">
            <w:pPr>
              <w:spacing w:after="0" w:line="240" w:lineRule="auto"/>
              <w:jc w:val="both"/>
              <w:rPr>
                <w:rFonts w:ascii="Bookman Old Style" w:eastAsia="Times New Roman" w:hAnsi="Bookman Old Style" w:cs="Times New Roman"/>
                <w:sz w:val="24"/>
                <w:szCs w:val="24"/>
                <w:lang w:eastAsia="es-CO"/>
              </w:rPr>
            </w:pPr>
            <w:r w:rsidRPr="00FB7F6F">
              <w:rPr>
                <w:rFonts w:ascii="Bookman Old Style" w:eastAsia="Times New Roman" w:hAnsi="Bookman Old Style" w:cs="Times New Roman"/>
                <w:sz w:val="24"/>
                <w:szCs w:val="24"/>
                <w:lang w:eastAsia="es-CO"/>
              </w:rPr>
              <w:t>¿Se vulnera el derecho al debido proceso de los accionantes en el proceso reivindicatorio de cosas hereditarias, al declarar en sentencia anticipada, la falta de legitimación en la causa de los herederos para reivindicar el vehículo automotor que les fue adjudicado en la sucesión, por falta de inscripción en el registro automotor?</w:t>
            </w:r>
          </w:p>
          <w:p w14:paraId="5233ABED" w14:textId="77777777" w:rsidR="00FB7F6F" w:rsidRPr="00FB7F6F" w:rsidRDefault="00FB7F6F" w:rsidP="00FB7F6F">
            <w:pPr>
              <w:spacing w:after="0" w:line="240" w:lineRule="auto"/>
              <w:rPr>
                <w:rFonts w:ascii="Bookman Old Style" w:eastAsia="Times New Roman" w:hAnsi="Bookman Old Style" w:cs="Times New Roman"/>
                <w:sz w:val="24"/>
                <w:szCs w:val="24"/>
                <w:lang w:eastAsia="es-CO"/>
              </w:rPr>
            </w:pPr>
          </w:p>
        </w:tc>
      </w:tr>
    </w:tbl>
    <w:p w14:paraId="3A129DA5"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04ED190C"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b/>
          <w:bCs/>
          <w:color w:val="7D3B05"/>
          <w:sz w:val="24"/>
          <w:szCs w:val="24"/>
          <w:lang w:eastAsia="es-CO"/>
        </w:rPr>
        <w:t>TEMA: </w:t>
      </w:r>
      <w:r w:rsidRPr="00FB7F6F">
        <w:rPr>
          <w:rFonts w:ascii="Bookman Old Style" w:eastAsia="Times New Roman" w:hAnsi="Bookman Old Style" w:cs="Times New Roman"/>
          <w:b/>
          <w:bCs/>
          <w:color w:val="000000"/>
          <w:sz w:val="24"/>
          <w:szCs w:val="24"/>
          <w:lang w:eastAsia="es-CO"/>
        </w:rPr>
        <w:t>ACCIÓN DE TUTELA CONTRA PROVIDENCIA JUDICIAL</w:t>
      </w:r>
    </w:p>
    <w:p w14:paraId="2852D71F"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40E6CD54"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b/>
          <w:bCs/>
          <w:color w:val="000000"/>
          <w:sz w:val="24"/>
          <w:szCs w:val="24"/>
          <w:lang w:eastAsia="es-CO"/>
        </w:rPr>
        <w:t>DERECHO CIVIL</w:t>
      </w:r>
      <w:r w:rsidRPr="00FB7F6F">
        <w:rPr>
          <w:rFonts w:ascii="Bookman Old Style" w:eastAsia="Times New Roman" w:hAnsi="Bookman Old Style" w:cs="Times New Roman"/>
          <w:color w:val="000000"/>
          <w:sz w:val="24"/>
          <w:szCs w:val="24"/>
          <w:lang w:eastAsia="es-CO"/>
        </w:rPr>
        <w:t> / </w:t>
      </w:r>
      <w:r w:rsidRPr="00FB7F6F">
        <w:rPr>
          <w:rFonts w:ascii="Bookman Old Style" w:eastAsia="Times New Roman" w:hAnsi="Bookman Old Style" w:cs="Times New Roman"/>
          <w:b/>
          <w:bCs/>
          <w:color w:val="000000"/>
          <w:sz w:val="24"/>
          <w:szCs w:val="24"/>
          <w:lang w:eastAsia="es-CO"/>
        </w:rPr>
        <w:t>SUCESIONES</w:t>
      </w:r>
      <w:r w:rsidRPr="00FB7F6F">
        <w:rPr>
          <w:rFonts w:ascii="Bookman Old Style" w:eastAsia="Times New Roman" w:hAnsi="Bookman Old Style" w:cs="Times New Roman"/>
          <w:color w:val="000000"/>
          <w:sz w:val="24"/>
          <w:szCs w:val="24"/>
          <w:lang w:eastAsia="es-CO"/>
        </w:rPr>
        <w:t> - Acción reivindicatoria de cosas hereditarias: titularidad de la acción en cabeza de los propietarios</w:t>
      </w:r>
    </w:p>
    <w:p w14:paraId="07E9D556"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057F8947"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b/>
          <w:bCs/>
          <w:color w:val="000000"/>
          <w:sz w:val="24"/>
          <w:szCs w:val="24"/>
          <w:lang w:eastAsia="es-CO"/>
        </w:rPr>
        <w:t>DERECHO CIVIL</w:t>
      </w:r>
      <w:r w:rsidRPr="00FB7F6F">
        <w:rPr>
          <w:rFonts w:ascii="Bookman Old Style" w:eastAsia="Times New Roman" w:hAnsi="Bookman Old Style" w:cs="Times New Roman"/>
          <w:color w:val="000000"/>
          <w:sz w:val="24"/>
          <w:szCs w:val="24"/>
          <w:lang w:eastAsia="es-CO"/>
        </w:rPr>
        <w:t> / </w:t>
      </w:r>
      <w:r w:rsidRPr="00FB7F6F">
        <w:rPr>
          <w:rFonts w:ascii="Bookman Old Style" w:eastAsia="Times New Roman" w:hAnsi="Bookman Old Style" w:cs="Times New Roman"/>
          <w:b/>
          <w:bCs/>
          <w:color w:val="000000"/>
          <w:sz w:val="24"/>
          <w:szCs w:val="24"/>
          <w:lang w:eastAsia="es-CO"/>
        </w:rPr>
        <w:t>SUCESIONES</w:t>
      </w:r>
      <w:r w:rsidRPr="00FB7F6F">
        <w:rPr>
          <w:rFonts w:ascii="Bookman Old Style" w:eastAsia="Times New Roman" w:hAnsi="Bookman Old Style" w:cs="Times New Roman"/>
          <w:color w:val="000000"/>
          <w:sz w:val="24"/>
          <w:szCs w:val="24"/>
          <w:lang w:eastAsia="es-CO"/>
        </w:rPr>
        <w:t> - Acción reivindicatoria de cosas hereditarias - Bienes que pueden reivindicarse: forma y oportunidad (c. j.)</w:t>
      </w:r>
    </w:p>
    <w:p w14:paraId="16F4B513"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78665E41"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b/>
          <w:bCs/>
          <w:color w:val="7D3B05"/>
          <w:sz w:val="24"/>
          <w:szCs w:val="24"/>
          <w:lang w:eastAsia="es-CO"/>
        </w:rPr>
        <w:t>Tesis:</w:t>
      </w:r>
    </w:p>
    <w:p w14:paraId="0DDB765A"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 xml:space="preserve">«(…) la “propiedad” en cabeza de los demandantes es un presupuesto axiológico que se predica tanto de la “acción reivindicatoria” prevista en el artículo 946 del Código Civil, como de la “acción reivindicatoria de cosas hereditarias” del precepto 1325 </w:t>
      </w:r>
      <w:proofErr w:type="spellStart"/>
      <w:r w:rsidRPr="00FB7F6F">
        <w:rPr>
          <w:rFonts w:ascii="Bookman Old Style" w:eastAsia="Times New Roman" w:hAnsi="Bookman Old Style" w:cs="Times New Roman"/>
          <w:color w:val="000000"/>
          <w:sz w:val="24"/>
          <w:szCs w:val="24"/>
          <w:lang w:eastAsia="es-CO"/>
        </w:rPr>
        <w:t>ejusdem</w:t>
      </w:r>
      <w:proofErr w:type="spellEnd"/>
      <w:r w:rsidRPr="00FB7F6F">
        <w:rPr>
          <w:rFonts w:ascii="Bookman Old Style" w:eastAsia="Times New Roman" w:hAnsi="Bookman Old Style" w:cs="Times New Roman"/>
          <w:color w:val="000000"/>
          <w:sz w:val="24"/>
          <w:szCs w:val="24"/>
          <w:lang w:eastAsia="es-CO"/>
        </w:rPr>
        <w:t>, pero solo cuando se ejerce en busca de “reivindicar”, en nombre propio, lo que al sucesor le correspondió en la “adjudicación”, tal como aconteció en este evento.</w:t>
      </w:r>
    </w:p>
    <w:p w14:paraId="490D552E"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7F6142E1"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Y es que, del referido artículo 1325 se desprenden tres situaciones, que esta Corte ha explicado de la siguiente forma:</w:t>
      </w:r>
    </w:p>
    <w:p w14:paraId="7A8C8F28"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727EA1EF"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 xml:space="preserve">[S]i lo que se pretende es perseguir los bienes que pertenecían al de </w:t>
      </w:r>
      <w:proofErr w:type="spellStart"/>
      <w:r w:rsidRPr="00FB7F6F">
        <w:rPr>
          <w:rFonts w:ascii="Bookman Old Style" w:eastAsia="Times New Roman" w:hAnsi="Bookman Old Style" w:cs="Times New Roman"/>
          <w:color w:val="000000"/>
          <w:sz w:val="24"/>
          <w:szCs w:val="24"/>
          <w:lang w:eastAsia="es-CO"/>
        </w:rPr>
        <w:t>cujus</w:t>
      </w:r>
      <w:proofErr w:type="spellEnd"/>
      <w:r w:rsidRPr="00FB7F6F">
        <w:rPr>
          <w:rFonts w:ascii="Bookman Old Style" w:eastAsia="Times New Roman" w:hAnsi="Bookman Old Style" w:cs="Times New Roman"/>
          <w:color w:val="000000"/>
          <w:sz w:val="24"/>
          <w:szCs w:val="24"/>
          <w:lang w:eastAsia="es-CO"/>
        </w:rPr>
        <w:t xml:space="preserve"> pero se encuentran en poder de terceros en calidad de poseedores, existen tres caminos a seguir que se desprenden del referido artículo 1325 del Código Civil (…).</w:t>
      </w:r>
    </w:p>
    <w:p w14:paraId="3A86C665"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4AE9A71C"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 xml:space="preserve">Primera situación. Los herederos, antes de la partición y adjudicación de la herencia pueden reivindicar bienes pertenecientes a la masa </w:t>
      </w:r>
      <w:proofErr w:type="spellStart"/>
      <w:r w:rsidRPr="00FB7F6F">
        <w:rPr>
          <w:rFonts w:ascii="Bookman Old Style" w:eastAsia="Times New Roman" w:hAnsi="Bookman Old Style" w:cs="Times New Roman"/>
          <w:color w:val="000000"/>
          <w:sz w:val="24"/>
          <w:szCs w:val="24"/>
          <w:lang w:eastAsia="es-CO"/>
        </w:rPr>
        <w:t>herencial</w:t>
      </w:r>
      <w:proofErr w:type="spellEnd"/>
      <w:r w:rsidRPr="00FB7F6F">
        <w:rPr>
          <w:rFonts w:ascii="Bookman Old Style" w:eastAsia="Times New Roman" w:hAnsi="Bookman Old Style" w:cs="Times New Roman"/>
          <w:color w:val="000000"/>
          <w:sz w:val="24"/>
          <w:szCs w:val="24"/>
          <w:lang w:eastAsia="es-CO"/>
        </w:rPr>
        <w:t xml:space="preserve"> que se encuentren poseídos por terceros. En este caso el heredero demandante en juicio de reivindicación debe reivindicar para la comunidad hereditaria, es decir, para todos los coherederos, pues aún no es dueño exclusivo de ninguna de las propiedades que pertenecían al causante. No puede reivindicar para sí, pues sólo con la partición y adjudicación adquiere un derecho exclusivo sobre los bienes que se le adjudican (…).</w:t>
      </w:r>
    </w:p>
    <w:p w14:paraId="64FEE627"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51563A45"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 xml:space="preserve">Segunda situación. Los herederos pueden reivindicar bienes que hacían parte de la masa </w:t>
      </w:r>
      <w:proofErr w:type="spellStart"/>
      <w:r w:rsidRPr="00FB7F6F">
        <w:rPr>
          <w:rFonts w:ascii="Bookman Old Style" w:eastAsia="Times New Roman" w:hAnsi="Bookman Old Style" w:cs="Times New Roman"/>
          <w:color w:val="000000"/>
          <w:sz w:val="24"/>
          <w:szCs w:val="24"/>
          <w:lang w:eastAsia="es-CO"/>
        </w:rPr>
        <w:t>herencial</w:t>
      </w:r>
      <w:proofErr w:type="spellEnd"/>
      <w:r w:rsidRPr="00FB7F6F">
        <w:rPr>
          <w:rFonts w:ascii="Bookman Old Style" w:eastAsia="Times New Roman" w:hAnsi="Bookman Old Style" w:cs="Times New Roman"/>
          <w:color w:val="000000"/>
          <w:sz w:val="24"/>
          <w:szCs w:val="24"/>
          <w:lang w:eastAsia="es-CO"/>
        </w:rPr>
        <w:t xml:space="preserve"> una vez verificada la partición y adjudicación, en los casos en que algunos de esos bienes se les haya adjudicado y se encuentren poseídos por terceros. En este caso reivindican para sí y no en nombre de la comunidad hereditaria ni para la misma, pues ésta feneció una vez realizada la partición y adjudicación. Reivindican en este caso con fundamento en que el dominio del bien reivindicado se encontraba en cabeza del causante y a ellos se adjudicó.</w:t>
      </w:r>
    </w:p>
    <w:p w14:paraId="30AE9F88"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26A873C1"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Tercera situación. Los herederos pueden reivindicar, como consecuencia de la acción de petición de herencia, bienes que pertenecían a ésta y han sido adjudicados a un heredero putativo, cuando acreditan simplemente un mejor derecho a poseer semejantes bienes por ser preferencial su título de heredero (CSJ SC 20 feb. 1958, G.J. LXXXVII pág. 77, SC 22 abr. 2002, rad. 7047, citada en SC1693-2019, resalta la Corte)».</w:t>
      </w:r>
    </w:p>
    <w:p w14:paraId="3001C71C"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6E464E93"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b/>
          <w:bCs/>
          <w:color w:val="000000"/>
          <w:sz w:val="24"/>
          <w:szCs w:val="24"/>
          <w:lang w:eastAsia="es-CO"/>
        </w:rPr>
        <w:lastRenderedPageBreak/>
        <w:t>DERECHO CIVIL</w:t>
      </w:r>
      <w:r w:rsidRPr="00FB7F6F">
        <w:rPr>
          <w:rFonts w:ascii="Bookman Old Style" w:eastAsia="Times New Roman" w:hAnsi="Bookman Old Style" w:cs="Times New Roman"/>
          <w:color w:val="000000"/>
          <w:sz w:val="24"/>
          <w:szCs w:val="24"/>
          <w:lang w:eastAsia="es-CO"/>
        </w:rPr>
        <w:t> / </w:t>
      </w:r>
      <w:r w:rsidRPr="00FB7F6F">
        <w:rPr>
          <w:rFonts w:ascii="Bookman Old Style" w:eastAsia="Times New Roman" w:hAnsi="Bookman Old Style" w:cs="Times New Roman"/>
          <w:b/>
          <w:bCs/>
          <w:color w:val="000000"/>
          <w:sz w:val="24"/>
          <w:szCs w:val="24"/>
          <w:lang w:eastAsia="es-CO"/>
        </w:rPr>
        <w:t>SUCESIONES</w:t>
      </w:r>
      <w:r w:rsidRPr="00FB7F6F">
        <w:rPr>
          <w:rFonts w:ascii="Bookman Old Style" w:eastAsia="Times New Roman" w:hAnsi="Bookman Old Style" w:cs="Times New Roman"/>
          <w:color w:val="000000"/>
          <w:sz w:val="24"/>
          <w:szCs w:val="24"/>
          <w:lang w:eastAsia="es-CO"/>
        </w:rPr>
        <w:t> - Acción reivindicatoria de cosas hereditarias: comparación con la acción de petición de herencia: alcance de las acciones (c. j.)</w:t>
      </w:r>
    </w:p>
    <w:p w14:paraId="57F8DD55"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7088848A"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b/>
          <w:bCs/>
          <w:color w:val="7D3B05"/>
          <w:sz w:val="24"/>
          <w:szCs w:val="24"/>
          <w:lang w:eastAsia="es-CO"/>
        </w:rPr>
        <w:t>Tesis:</w:t>
      </w:r>
    </w:p>
    <w:p w14:paraId="14079A66"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 al efectuar un paralelo entre las “acciones reivindicatorias y de petición de herencia”, sostuvo que,</w:t>
      </w:r>
    </w:p>
    <w:p w14:paraId="5B34E85B"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2AB17E90"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[l]a similitud de las acciones reivindicatoria y de petición de herencia, en tanto ellas propenden por hacer efectivo el atributo de persecución propio de los derechos reales (el de herencia y el dominio, entre otros, lo son), ha ocasionado que el ámbito de dichas acciones tienda a confundirse, por lo cual la Corte, de tiempo atrás ha clarificado el alcance de una y otra acción, a punto tal que restringió, naturalmente con base en la interpretación de los textos legales, el uso por parte del heredero, de la acción reivindicatoria mientras no tenga sobre las cosas reivindicables la propiedad plena o nuda, absoluta o fiduciaria, dado que la declaración sumaria de heredero no le otorga esa acción sino la de petición de herencia , salvo que el heredero por economía procesal ejercite bajo una misma cuerda la acción de petición de herencia y la reivindicatoria, o que, invocando esa calidad de heredero y no ya para sí sino para la sucesión o mejor, para la comunidad, entable la acción reivindicatoria de la que era titular su causante (CSJ SC 13 dic. 2000, rad. 6488, reiterada en SC1693-2019, destaca la Sala)».</w:t>
      </w:r>
    </w:p>
    <w:p w14:paraId="1F87C4AD"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7047A221"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b/>
          <w:bCs/>
          <w:color w:val="000000"/>
          <w:sz w:val="24"/>
          <w:szCs w:val="24"/>
          <w:lang w:eastAsia="es-CO"/>
        </w:rPr>
        <w:t>DERECHO AL DEBIDO PROCESO</w:t>
      </w:r>
      <w:r w:rsidRPr="00FB7F6F">
        <w:rPr>
          <w:rFonts w:ascii="Bookman Old Style" w:eastAsia="Times New Roman" w:hAnsi="Bookman Old Style" w:cs="Times New Roman"/>
          <w:color w:val="000000"/>
          <w:sz w:val="24"/>
          <w:szCs w:val="24"/>
          <w:lang w:eastAsia="es-CO"/>
        </w:rPr>
        <w:t> - Proceso reivindicatorio de cosas hereditarias: razonabilidad de la sentencia anticipada que declara la falta de legitimación en la causa de los herederos para reivindicar, para sí y no para la sucesión, la propiedad del vehículo que les fue adjudicado en la sucesión, por falta de inscripción en el registro automotor</w:t>
      </w:r>
    </w:p>
    <w:p w14:paraId="7F91B142"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1D4E05EA"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b/>
          <w:bCs/>
          <w:color w:val="000000"/>
          <w:sz w:val="24"/>
          <w:szCs w:val="24"/>
          <w:lang w:eastAsia="es-CO"/>
        </w:rPr>
        <w:t>DERECHO CIVIL</w:t>
      </w:r>
      <w:r w:rsidRPr="00FB7F6F">
        <w:rPr>
          <w:rFonts w:ascii="Bookman Old Style" w:eastAsia="Times New Roman" w:hAnsi="Bookman Old Style" w:cs="Times New Roman"/>
          <w:color w:val="000000"/>
          <w:sz w:val="24"/>
          <w:szCs w:val="24"/>
          <w:lang w:eastAsia="es-CO"/>
        </w:rPr>
        <w:t> / </w:t>
      </w:r>
      <w:r w:rsidRPr="00FB7F6F">
        <w:rPr>
          <w:rFonts w:ascii="Bookman Old Style" w:eastAsia="Times New Roman" w:hAnsi="Bookman Old Style" w:cs="Times New Roman"/>
          <w:b/>
          <w:bCs/>
          <w:color w:val="000000"/>
          <w:sz w:val="24"/>
          <w:szCs w:val="24"/>
          <w:lang w:eastAsia="es-CO"/>
        </w:rPr>
        <w:t>BIENES</w:t>
      </w:r>
      <w:r w:rsidRPr="00FB7F6F">
        <w:rPr>
          <w:rFonts w:ascii="Bookman Old Style" w:eastAsia="Times New Roman" w:hAnsi="Bookman Old Style" w:cs="Times New Roman"/>
          <w:color w:val="000000"/>
          <w:sz w:val="24"/>
          <w:szCs w:val="24"/>
          <w:lang w:eastAsia="es-CO"/>
        </w:rPr>
        <w:t> - Derecho real de dominio - Modos de adquirir el dominio - Tradición de vehículos automotores: solemnidad</w:t>
      </w:r>
    </w:p>
    <w:p w14:paraId="6D5E7B5C"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4DC57C92"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b/>
          <w:bCs/>
          <w:color w:val="7D3B05"/>
          <w:sz w:val="24"/>
          <w:szCs w:val="24"/>
          <w:lang w:eastAsia="es-CO"/>
        </w:rPr>
        <w:t>Tesis:</w:t>
      </w:r>
    </w:p>
    <w:p w14:paraId="7FDA0DB5"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 se advierte el decaimiento de los anhelos de los discordantes, comoquiera que el pronunciamiento definitivo que aquí será estudiado, por medio del cual se ratificó la “sentencia anticipada” de primera instancia por “falta de legitimación en la causa por activa”, emitida en la acción de dominio incoada por los aquí precursores, no luce arbitrario o infundado, según pasa a explicarse.</w:t>
      </w:r>
    </w:p>
    <w:p w14:paraId="7DC76533"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52AFC93C"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2.- En efecto, el Juzgado Tercero Civil del Circuito de Duitama respaldó la postura de primer grado, al apreciar que,</w:t>
      </w:r>
    </w:p>
    <w:p w14:paraId="59F25030"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21940A79"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 xml:space="preserve">En el caso que nos ocupa los demandantes […] a través de apoderada judicial, formularon como pretensión principal que se declarara que les pertenecía en dominio pleno y absoluto el vehículo marca Chevrolet, línea </w:t>
      </w:r>
      <w:proofErr w:type="spellStart"/>
      <w:r w:rsidRPr="00FB7F6F">
        <w:rPr>
          <w:rFonts w:ascii="Bookman Old Style" w:eastAsia="Times New Roman" w:hAnsi="Bookman Old Style" w:cs="Times New Roman"/>
          <w:color w:val="000000"/>
          <w:sz w:val="24"/>
          <w:szCs w:val="24"/>
          <w:lang w:eastAsia="es-CO"/>
        </w:rPr>
        <w:t>Sparck</w:t>
      </w:r>
      <w:proofErr w:type="spellEnd"/>
      <w:r w:rsidRPr="00FB7F6F">
        <w:rPr>
          <w:rFonts w:ascii="Bookman Old Style" w:eastAsia="Times New Roman" w:hAnsi="Bookman Old Style" w:cs="Times New Roman"/>
          <w:color w:val="000000"/>
          <w:sz w:val="24"/>
          <w:szCs w:val="24"/>
          <w:lang w:eastAsia="es-CO"/>
        </w:rPr>
        <w:t xml:space="preserve">, modelo 2015, de placas DJK725 […] por ser herederos y habérseles adjudicado mediante escritura pública No. 1289 del 21 de abril de 2017 de la Notaria </w:t>
      </w:r>
      <w:r w:rsidRPr="00FB7F6F">
        <w:rPr>
          <w:rFonts w:ascii="Bookman Old Style" w:eastAsia="Times New Roman" w:hAnsi="Bookman Old Style" w:cs="Times New Roman"/>
          <w:color w:val="000000"/>
          <w:sz w:val="24"/>
          <w:szCs w:val="24"/>
          <w:lang w:eastAsia="es-CO"/>
        </w:rPr>
        <w:lastRenderedPageBreak/>
        <w:t>Segunda de Duitama […] y que sustenta dicha pretensión ya que en la distribución de hijuelas, en el numeral sexto aparecía claramente relacionado el rodante que es objeto de esta acción; consecuencialmente peticionaron se condenara a la demandada señora Marisol Rodríguez Pérez a restituir, reivindicar o entregar, una vez ejecutoriada la sentencia, a favor de los demandantes el mencionado automotor.</w:t>
      </w:r>
    </w:p>
    <w:p w14:paraId="29D434BF"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6A68E1ED"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Bajo estos supuestos, atendiendo la norma sustancial contenida en el artículo 1325 del Código Civil, en congruencia con el precedente emanado de la Sala Civil de la Corte Suprema de Justicia que claramente decantó el contenido y alcance de la referida disposición […] estima esta funcionaria que resultó acertada la decisión del juez a quo al concluir la falta de legitimación en la causa en cabeza de los demandantes porque de acuerdo con la situación planteada en el libelo, en concordancia con las pruebas aportadas a la actuación, claramente se vislumbra que no les asistía la facultad de promover la acción reivindicatoria, pues con el solo de hecho de habérseles adjudicado en la sucesión del causante José Higuera el bien objeto de reivindicación no era suficiente para acceder al amparo deprecado, pues en tratándose de un bien mueble sujeto a registro, como lo es los automotores, se precisaba el registro de dicho título para consolidar en cabeza suya el dominio del referido bien y así acreditar con éxito el primero de los presupuestos axiológicos de la acción de dominio sin que las exculpaciones aducidas como justificación para así no haber podido proceder, puedan servir para contravenir los postulados del artículo 946 del C.C. de obligatorio acatamiento para sacar airosa la pretensión reivindicatoria.</w:t>
      </w:r>
    </w:p>
    <w:p w14:paraId="08C318C7"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1BCD59E7"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 xml:space="preserve">Y es que resulta trascedente para la resolución de la alzada memorar la diferencia que existe entre el derecho real de herencia y el derecho real de propiedad, pues sobre los bienes relictos el heredero solo adquiere un derecho real con la partición y registro de las sentencia cuando quiera que se trata de bienes sujetos a registro, como acontece con los bienes raíces y los automotores, tal como lo decantó la Corte Suprema de Justicia en sentencia de mayo 16 de 1998, con ponencia </w:t>
      </w:r>
      <w:proofErr w:type="spellStart"/>
      <w:r w:rsidRPr="00FB7F6F">
        <w:rPr>
          <w:rFonts w:ascii="Bookman Old Style" w:eastAsia="Times New Roman" w:hAnsi="Bookman Old Style" w:cs="Times New Roman"/>
          <w:color w:val="000000"/>
          <w:sz w:val="24"/>
          <w:szCs w:val="24"/>
          <w:lang w:eastAsia="es-CO"/>
        </w:rPr>
        <w:t>de el</w:t>
      </w:r>
      <w:proofErr w:type="spellEnd"/>
      <w:r w:rsidRPr="00FB7F6F">
        <w:rPr>
          <w:rFonts w:ascii="Bookman Old Style" w:eastAsia="Times New Roman" w:hAnsi="Bookman Old Style" w:cs="Times New Roman"/>
          <w:color w:val="000000"/>
          <w:sz w:val="24"/>
          <w:szCs w:val="24"/>
          <w:lang w:eastAsia="es-CO"/>
        </w:rPr>
        <w:t xml:space="preserve"> ex magistrado Pedro Lafont </w:t>
      </w:r>
      <w:proofErr w:type="spellStart"/>
      <w:r w:rsidRPr="00FB7F6F">
        <w:rPr>
          <w:rFonts w:ascii="Bookman Old Style" w:eastAsia="Times New Roman" w:hAnsi="Bookman Old Style" w:cs="Times New Roman"/>
          <w:color w:val="000000"/>
          <w:sz w:val="24"/>
          <w:szCs w:val="24"/>
          <w:lang w:eastAsia="es-CO"/>
        </w:rPr>
        <w:t>Pianetta</w:t>
      </w:r>
      <w:proofErr w:type="spellEnd"/>
      <w:r w:rsidRPr="00FB7F6F">
        <w:rPr>
          <w:rFonts w:ascii="Bookman Old Style" w:eastAsia="Times New Roman" w:hAnsi="Bookman Old Style" w:cs="Times New Roman"/>
          <w:color w:val="000000"/>
          <w:sz w:val="24"/>
          <w:szCs w:val="24"/>
          <w:lang w:eastAsia="es-CO"/>
        </w:rPr>
        <w:t xml:space="preserve"> (…)” (Audio sustentación y fallo) (Resalta la Sala).</w:t>
      </w:r>
    </w:p>
    <w:p w14:paraId="5B6CB262"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60FC9ECC"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w:t>
      </w:r>
    </w:p>
    <w:p w14:paraId="782A02AA"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09B0E972"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Así las cosas, surge que los querellantes ejercieron la “acción reivindicatoria de cosas hereditarias” directamente para sí y no para la sucesión, pues ya se había efectuado la “adjudicación” de los bienes relictos. Sin embargo, intentaron acreditar el derecho real de “propiedad” sobre el vehículo cuya restitución invocaron, con la escritura pública número 1289 (21 abr. 2017) que contiene la partición y “adjudicación” del automóvil a su nombre, sin que la misma haya sido inscrita en la oficina de tránsito y transporte correspondiente, requisito indispensable para “adquirir el dominio” de este tipo de bien.</w:t>
      </w:r>
    </w:p>
    <w:p w14:paraId="6D916D09"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458C7C3A"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lastRenderedPageBreak/>
        <w:t>De antaño se ha establecido que, tratándose de automotores, la tradición no se surte con la simple entrega, sino que es menester además la referida “inscripción”, detentando los herederos únicamente el título pero no el modo.</w:t>
      </w:r>
    </w:p>
    <w:p w14:paraId="789AD9DE"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4502C4C0"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Por consiguiente, emerge traslucida la “falta de legitimación en la causa” de los impulsores para aspirar a la “reivindicación”, tal como lo infirió el servidor enjuiciado, al no ser titulares del “automotor”, ya que, pese a lo especial de la “acción” contenida en el canon 1325 del Código Civil, lo cierto es que aquella no desconoce los principios inherentes a la “acción reivindicatoria” contemplada en los artículos 946 y siguientes del Código Civil, donde lo principal es “el amparo del derecho de dominio” y que el actor sea quien lo ostente cuando la reclama en nombre propio.</w:t>
      </w:r>
    </w:p>
    <w:p w14:paraId="1DF56B6F"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5BBC7BA6"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color w:val="000000"/>
          <w:sz w:val="24"/>
          <w:szCs w:val="24"/>
          <w:lang w:eastAsia="es-CO"/>
        </w:rPr>
        <w:t>3.- Basten los razonamientos enunciados para ratificar el fallo impugnado».</w:t>
      </w:r>
    </w:p>
    <w:p w14:paraId="07CC1879"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4030129D" w14:textId="77777777"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p>
    <w:p w14:paraId="6CDFA630" w14:textId="3BD39CB8" w:rsidR="00FB7F6F" w:rsidRPr="00FB7F6F" w:rsidRDefault="00FB7F6F" w:rsidP="00FB7F6F">
      <w:pPr>
        <w:spacing w:after="0" w:line="240" w:lineRule="auto"/>
        <w:jc w:val="both"/>
        <w:rPr>
          <w:rFonts w:ascii="Bookman Old Style" w:eastAsia="Times New Roman" w:hAnsi="Bookman Old Style" w:cs="Times New Roman"/>
          <w:color w:val="000000"/>
          <w:sz w:val="24"/>
          <w:szCs w:val="24"/>
          <w:lang w:eastAsia="es-CO"/>
        </w:rPr>
      </w:pPr>
      <w:r w:rsidRPr="00FB7F6F">
        <w:rPr>
          <w:rFonts w:ascii="Bookman Old Style" w:eastAsia="Times New Roman" w:hAnsi="Bookman Old Style" w:cs="Times New Roman"/>
          <w:b/>
          <w:bCs/>
          <w:color w:val="7D3B05"/>
          <w:sz w:val="24"/>
          <w:szCs w:val="24"/>
          <w:lang w:eastAsia="es-CO"/>
        </w:rPr>
        <w:t>JURISPRUDENCIA RELACIONADA: </w:t>
      </w:r>
      <w:r w:rsidRPr="00FB7F6F">
        <w:rPr>
          <w:rFonts w:ascii="Bookman Old Style" w:eastAsia="Times New Roman" w:hAnsi="Bookman Old Style" w:cs="Times New Roman"/>
          <w:color w:val="000000"/>
          <w:sz w:val="24"/>
          <w:szCs w:val="24"/>
          <w:lang w:eastAsia="es-CO"/>
        </w:rPr>
        <w:t>CSJ SC 20 feb. 1958, G.J. LXXXVII pág. 77; CSJ SC 13 dic. 2000, rad. 6488</w:t>
      </w:r>
    </w:p>
    <w:p w14:paraId="5AF767F6" w14:textId="77777777" w:rsidR="00FB7F6F" w:rsidRPr="00FB7F6F" w:rsidRDefault="00FB7F6F" w:rsidP="00FB7F6F">
      <w:pPr>
        <w:spacing w:after="0" w:line="240" w:lineRule="auto"/>
        <w:rPr>
          <w:rFonts w:ascii="Bookman Old Style" w:eastAsia="Times New Roman" w:hAnsi="Bookman Old Style" w:cs="Times New Roman"/>
          <w:color w:val="000000"/>
          <w:sz w:val="24"/>
          <w:szCs w:val="24"/>
          <w:lang w:eastAsia="es-CO"/>
        </w:rPr>
      </w:pPr>
    </w:p>
    <w:p w14:paraId="7886A276" w14:textId="60FE958F" w:rsidR="00CE1811" w:rsidRPr="00FB7F6F" w:rsidRDefault="00CE1811" w:rsidP="00FB7F6F">
      <w:pPr>
        <w:spacing w:after="0" w:line="240" w:lineRule="auto"/>
        <w:rPr>
          <w:rFonts w:ascii="Bookman Old Style" w:eastAsia="Times New Roman" w:hAnsi="Bookman Old Style" w:cs="Times New Roman"/>
          <w:color w:val="000000"/>
          <w:sz w:val="24"/>
          <w:szCs w:val="24"/>
          <w:lang w:eastAsia="es-CO"/>
        </w:rPr>
      </w:pPr>
    </w:p>
    <w:sectPr w:rsidR="00CE1811" w:rsidRPr="00FB7F6F" w:rsidSect="00E86A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F6F"/>
    <w:rsid w:val="001F22AC"/>
    <w:rsid w:val="00CE1811"/>
    <w:rsid w:val="00E86A35"/>
    <w:rsid w:val="00FB7F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4BB51"/>
  <w15:chartTrackingRefBased/>
  <w15:docId w15:val="{9D99031C-01B2-40F7-B2FA-D1D7D93BB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F22AC"/>
    <w:rPr>
      <w:color w:val="0563C1" w:themeColor="hyperlink"/>
      <w:u w:val="single"/>
    </w:rPr>
  </w:style>
  <w:style w:type="character" w:styleId="Mencinsinresolver">
    <w:name w:val="Unresolved Mention"/>
    <w:basedOn w:val="Fuentedeprrafopredeter"/>
    <w:uiPriority w:val="99"/>
    <w:semiHidden/>
    <w:unhideWhenUsed/>
    <w:rsid w:val="001F2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317093">
      <w:bodyDiv w:val="1"/>
      <w:marLeft w:val="0"/>
      <w:marRight w:val="0"/>
      <w:marTop w:val="0"/>
      <w:marBottom w:val="0"/>
      <w:divBdr>
        <w:top w:val="none" w:sz="0" w:space="0" w:color="auto"/>
        <w:left w:val="none" w:sz="0" w:space="0" w:color="auto"/>
        <w:bottom w:val="none" w:sz="0" w:space="0" w:color="auto"/>
        <w:right w:val="none" w:sz="0" w:space="0" w:color="auto"/>
      </w:divBdr>
      <w:divsChild>
        <w:div w:id="815420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rtesuprema.gov.co/corte/wp-content/uploads/relatorias/tutelas/B%20FEB2021/STC5615-2020.doc"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1613</Words>
  <Characters>8873</Characters>
  <Application>Microsoft Office Word</Application>
  <DocSecurity>0</DocSecurity>
  <Lines>73</Lines>
  <Paragraphs>20</Paragraphs>
  <ScaleCrop>false</ScaleCrop>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Alexander López Briceño</dc:creator>
  <cp:keywords/>
  <dc:description/>
  <cp:lastModifiedBy>Jorge Alexander López Briceño</cp:lastModifiedBy>
  <cp:revision>2</cp:revision>
  <dcterms:created xsi:type="dcterms:W3CDTF">2021-02-20T01:05:00Z</dcterms:created>
  <dcterms:modified xsi:type="dcterms:W3CDTF">2021-02-20T01:07:00Z</dcterms:modified>
</cp:coreProperties>
</file>