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D9C" w:rsidRPr="00EF3D9C" w:rsidRDefault="00EF3D9C" w:rsidP="00EF3D9C">
      <w:pPr>
        <w:spacing w:after="0" w:line="240" w:lineRule="auto"/>
        <w:jc w:val="center"/>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noProof/>
          <w:color w:val="000000"/>
          <w:sz w:val="24"/>
          <w:szCs w:val="24"/>
          <w:lang w:eastAsia="es-CO"/>
        </w:rPr>
        <w:drawing>
          <wp:inline distT="0" distB="0" distL="0" distR="0">
            <wp:extent cx="1390650" cy="13144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0650" cy="1314450"/>
                    </a:xfrm>
                    <a:prstGeom prst="rect">
                      <a:avLst/>
                    </a:prstGeom>
                    <a:noFill/>
                    <a:ln>
                      <a:noFill/>
                    </a:ln>
                  </pic:spPr>
                </pic:pic>
              </a:graphicData>
            </a:graphic>
          </wp:inline>
        </w:drawing>
      </w:r>
    </w:p>
    <w:p w:rsidR="00EF3D9C" w:rsidRDefault="00EF3D9C" w:rsidP="00EF3D9C">
      <w:pPr>
        <w:spacing w:after="0" w:line="240" w:lineRule="auto"/>
        <w:rPr>
          <w:rFonts w:ascii="Bookman Old Style" w:eastAsia="Times New Roman" w:hAnsi="Bookman Old Style" w:cs="Times New Roman"/>
          <w:color w:val="000000"/>
          <w:sz w:val="24"/>
          <w:szCs w:val="24"/>
          <w:lang w:eastAsia="es-CO"/>
        </w:rPr>
      </w:pPr>
    </w:p>
    <w:p w:rsidR="00EF3D9C" w:rsidRPr="00EF3D9C" w:rsidRDefault="00EF3D9C" w:rsidP="00EF3D9C">
      <w:pPr>
        <w:spacing w:after="0" w:line="240" w:lineRule="auto"/>
        <w:rPr>
          <w:rFonts w:ascii="Bookman Old Style" w:eastAsia="Times New Roman" w:hAnsi="Bookman Old Style" w:cs="Times New Roman"/>
          <w:sz w:val="24"/>
          <w:szCs w:val="24"/>
          <w:lang w:eastAsia="es-CO"/>
        </w:rPr>
      </w:pPr>
    </w:p>
    <w:p w:rsidR="00EF3D9C" w:rsidRPr="00EF3D9C" w:rsidRDefault="00EF3D9C" w:rsidP="00EF3D9C">
      <w:pPr>
        <w:spacing w:after="0" w:line="240" w:lineRule="auto"/>
        <w:jc w:val="center"/>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TUTELA</w:t>
      </w:r>
    </w:p>
    <w:p w:rsidR="00EF3D9C" w:rsidRDefault="00EF3D9C" w:rsidP="00EF3D9C">
      <w:pPr>
        <w:spacing w:after="0" w:line="240" w:lineRule="auto"/>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rPr>
          <w:rFonts w:ascii="Bookman Old Style" w:eastAsia="Times New Roman" w:hAnsi="Bookman Old Style" w:cs="Times New Roman"/>
          <w:color w:val="000000"/>
          <w:sz w:val="24"/>
          <w:szCs w:val="24"/>
          <w:lang w:eastAsia="es-CO"/>
        </w:rPr>
      </w:pPr>
    </w:p>
    <w:p w:rsidR="00EF3D9C" w:rsidRPr="00EF3D9C" w:rsidRDefault="00EF3D9C" w:rsidP="00EF3D9C">
      <w:pPr>
        <w:spacing w:after="0" w:line="240" w:lineRule="auto"/>
        <w:rPr>
          <w:rFonts w:ascii="Bookman Old Style" w:eastAsia="Times New Roman" w:hAnsi="Bookman Old Style" w:cs="Times New Roman"/>
          <w:sz w:val="24"/>
          <w:szCs w:val="24"/>
          <w:lang w:eastAsia="es-CO"/>
        </w:rPr>
      </w:pPr>
    </w:p>
    <w:p w:rsidR="00EF3D9C" w:rsidRPr="00EF3D9C" w:rsidRDefault="00EF3D9C" w:rsidP="00EF3D9C">
      <w:pPr>
        <w:spacing w:after="0" w:line="240" w:lineRule="auto"/>
        <w:rPr>
          <w:rFonts w:ascii="Bookman Old Style" w:eastAsia="Times New Roman" w:hAnsi="Bookman Old Style" w:cs="Times New Roman"/>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EF3D9C" w:rsidRPr="00EF3D9C" w:rsidTr="00EF3D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F3D9C" w:rsidRPr="00EF3D9C" w:rsidRDefault="00EF3D9C" w:rsidP="00EF3D9C">
            <w:pPr>
              <w:shd w:val="clear" w:color="auto" w:fill="BBFFAA"/>
              <w:spacing w:after="0" w:line="240" w:lineRule="auto"/>
              <w:jc w:val="center"/>
              <w:divId w:val="1935166624"/>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sz w:val="24"/>
                <w:szCs w:val="24"/>
                <w:lang w:eastAsia="es-CO"/>
              </w:rPr>
              <w:t>RELEVANTE</w:t>
            </w:r>
          </w:p>
          <w:p w:rsidR="00EF3D9C" w:rsidRDefault="00EF3D9C" w:rsidP="00EF3D9C">
            <w:pPr>
              <w:spacing w:after="0" w:line="240" w:lineRule="auto"/>
              <w:rPr>
                <w:rFonts w:ascii="Bookman Old Style" w:eastAsia="Times New Roman" w:hAnsi="Bookman Old Style" w:cs="Times New Roman"/>
                <w:sz w:val="24"/>
                <w:szCs w:val="24"/>
                <w:lang w:eastAsia="es-CO"/>
              </w:rPr>
            </w:pPr>
          </w:p>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sz w:val="24"/>
                <w:szCs w:val="24"/>
                <w:lang w:eastAsia="es-CO"/>
              </w:rPr>
              <w:t>SALA DE CASACIÓN CIVIL Y AGRARIA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770"/>
            </w:tblGrid>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ID</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688100</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M. PONENTE</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OCTAVIO AUGUSTO TEJEIRO DUQUE</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NÚMERO DE PROCESO</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T 1100122030002019-02319-01</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NÚMERO DE PROVIDENCIA</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D71461" w:rsidP="00EF3D9C">
                  <w:pPr>
                    <w:spacing w:after="0" w:line="240" w:lineRule="auto"/>
                    <w:jc w:val="both"/>
                    <w:rPr>
                      <w:rFonts w:ascii="Bookman Old Style" w:eastAsia="Times New Roman" w:hAnsi="Bookman Old Style" w:cs="Times New Roman"/>
                      <w:sz w:val="24"/>
                      <w:szCs w:val="24"/>
                      <w:lang w:eastAsia="es-CO"/>
                    </w:rPr>
                  </w:pPr>
                  <w:hyperlink r:id="rId6" w:history="1">
                    <w:r w:rsidR="00EF3D9C" w:rsidRPr="00D71461">
                      <w:rPr>
                        <w:rStyle w:val="Hipervnculo"/>
                        <w:rFonts w:ascii="Bookman Old Style" w:eastAsia="Times New Roman" w:hAnsi="Bookman Old Style" w:cs="Times New Roman"/>
                        <w:sz w:val="24"/>
                        <w:szCs w:val="24"/>
                        <w:lang w:eastAsia="es-CO"/>
                      </w:rPr>
                      <w:t>STC690-2020</w:t>
                    </w:r>
                  </w:hyperlink>
                  <w:bookmarkStart w:id="0" w:name="_GoBack"/>
                  <w:bookmarkEnd w:id="0"/>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PROCEDENCIA</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Tribunal Superior Sala Civil de Bogotá</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CLASE DE ACTUACIÓN</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ACCIÓN DE TUTELA - SEGUNDA INSTANCIA</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TIPO DE PROVIDENCIA</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SENTENCIA</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FECHA</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03/02/2020</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DECISIÓN</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CONFIRMA NIEGA TUTELA</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ACCIONADO</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JUZGADO TREINTA Y CUATRO CIVIL DEL CIRCUITO DE BOGOTÁ</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ACCIONANTE</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TRANSPORTADORA DE GAS INTERNACIONAL S.A. E.S.P. TGI S.A.</w:t>
                  </w:r>
                </w:p>
              </w:tc>
            </w:tr>
            <w:tr w:rsidR="00EF3D9C" w:rsidRPr="00EF3D9C">
              <w:trPr>
                <w:tblCellSpacing w:w="15" w:type="dxa"/>
              </w:trPr>
              <w:tc>
                <w:tcPr>
                  <w:tcW w:w="3750"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FUENTE FORMAL</w:t>
                  </w:r>
                </w:p>
              </w:tc>
              <w:tc>
                <w:tcPr>
                  <w:tcW w:w="75" w:type="dxa"/>
                  <w:hideMark/>
                </w:tcPr>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w:t>
                  </w:r>
                </w:p>
              </w:tc>
              <w:tc>
                <w:tcPr>
                  <w:tcW w:w="0" w:type="auto"/>
                  <w:vAlign w:val="center"/>
                  <w:hideMark/>
                </w:tcPr>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Ley 527 de 1999 art. 20, 21 / Código General del Proceso art. 292, 291 núm. 3 inc. 5</w:t>
                  </w:r>
                </w:p>
              </w:tc>
            </w:tr>
          </w:tbl>
          <w:p w:rsidR="00EF3D9C" w:rsidRPr="00EF3D9C" w:rsidRDefault="00EF3D9C" w:rsidP="00EF3D9C">
            <w:pPr>
              <w:spacing w:after="0" w:line="240" w:lineRule="auto"/>
              <w:rPr>
                <w:rFonts w:ascii="Bookman Old Style" w:eastAsia="Times New Roman" w:hAnsi="Bookman Old Style" w:cs="Times New Roman"/>
                <w:sz w:val="24"/>
                <w:szCs w:val="24"/>
                <w:lang w:eastAsia="es-CO"/>
              </w:rPr>
            </w:pPr>
          </w:p>
        </w:tc>
      </w:tr>
    </w:tbl>
    <w:p w:rsidR="00EF3D9C" w:rsidRPr="00EF3D9C" w:rsidRDefault="00EF3D9C" w:rsidP="00EF3D9C">
      <w:pPr>
        <w:spacing w:after="0" w:line="240" w:lineRule="auto"/>
        <w:jc w:val="both"/>
        <w:rPr>
          <w:rFonts w:ascii="Bookman Old Style" w:eastAsia="Times New Roman" w:hAnsi="Bookman Old Style" w:cs="Times New Roman"/>
          <w:vanish/>
          <w:color w:val="000000"/>
          <w:sz w:val="24"/>
          <w:szCs w:val="24"/>
          <w:lang w:eastAsia="es-CO"/>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822"/>
      </w:tblGrid>
      <w:tr w:rsidR="00EF3D9C" w:rsidRPr="00EF3D9C" w:rsidTr="00EF3D9C">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EF3D9C" w:rsidRDefault="00EF3D9C" w:rsidP="00EF3D9C">
            <w:pPr>
              <w:spacing w:after="0" w:line="240" w:lineRule="auto"/>
              <w:rPr>
                <w:rFonts w:ascii="Bookman Old Style" w:eastAsia="Times New Roman" w:hAnsi="Bookman Old Style" w:cs="Times New Roman"/>
                <w:sz w:val="24"/>
                <w:szCs w:val="24"/>
                <w:lang w:eastAsia="es-CO"/>
              </w:rPr>
            </w:pPr>
          </w:p>
          <w:p w:rsidR="00EF3D9C" w:rsidRPr="00EF3D9C" w:rsidRDefault="00EF3D9C" w:rsidP="00EF3D9C">
            <w:pPr>
              <w:spacing w:after="0" w:line="240" w:lineRule="auto"/>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b/>
                <w:bCs/>
                <w:color w:val="7D3B05"/>
                <w:sz w:val="24"/>
                <w:szCs w:val="24"/>
                <w:lang w:eastAsia="es-CO"/>
              </w:rPr>
              <w:t>ASUNTO:</w:t>
            </w:r>
          </w:p>
          <w:p w:rsidR="00EF3D9C" w:rsidRPr="00EF3D9C" w:rsidRDefault="00EF3D9C" w:rsidP="00EF3D9C">
            <w:pPr>
              <w:spacing w:after="0" w:line="240" w:lineRule="auto"/>
              <w:jc w:val="both"/>
              <w:rPr>
                <w:rFonts w:ascii="Bookman Old Style" w:eastAsia="Times New Roman" w:hAnsi="Bookman Old Style" w:cs="Times New Roman"/>
                <w:sz w:val="24"/>
                <w:szCs w:val="24"/>
                <w:lang w:eastAsia="es-CO"/>
              </w:rPr>
            </w:pPr>
            <w:r w:rsidRPr="00EF3D9C">
              <w:rPr>
                <w:rFonts w:ascii="Bookman Old Style" w:eastAsia="Times New Roman" w:hAnsi="Bookman Old Style" w:cs="Times New Roman"/>
                <w:sz w:val="24"/>
                <w:szCs w:val="24"/>
                <w:lang w:eastAsia="es-CO"/>
              </w:rPr>
              <w:t>¿La providencia proferida en el proceso ejecutivo hipotecario que resta validez a la notificación del mandamiento de pago efectuada mediante correo electrónico remitido a la demandada, por falta de acreditación del acuse de recibo, vulnera el derecho al debido proceso de la accionante?</w:t>
            </w:r>
          </w:p>
          <w:p w:rsidR="00EF3D9C" w:rsidRPr="00EF3D9C" w:rsidRDefault="00EF3D9C" w:rsidP="00EF3D9C">
            <w:pPr>
              <w:spacing w:after="0" w:line="240" w:lineRule="auto"/>
              <w:rPr>
                <w:rFonts w:ascii="Bookman Old Style" w:eastAsia="Times New Roman" w:hAnsi="Bookman Old Style" w:cs="Times New Roman"/>
                <w:sz w:val="24"/>
                <w:szCs w:val="24"/>
                <w:lang w:eastAsia="es-CO"/>
              </w:rPr>
            </w:pPr>
          </w:p>
        </w:tc>
      </w:tr>
    </w:tbl>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7D3B05"/>
          <w:sz w:val="24"/>
          <w:szCs w:val="24"/>
          <w:lang w:eastAsia="es-CO"/>
        </w:rPr>
        <w:t>TEMA: </w:t>
      </w:r>
      <w:r w:rsidRPr="00EF3D9C">
        <w:rPr>
          <w:rFonts w:ascii="Bookman Old Style" w:eastAsia="Times New Roman" w:hAnsi="Bookman Old Style" w:cs="Times New Roman"/>
          <w:b/>
          <w:bCs/>
          <w:color w:val="000000"/>
          <w:sz w:val="24"/>
          <w:szCs w:val="24"/>
          <w:lang w:eastAsia="es-CO"/>
        </w:rPr>
        <w:t>ACCIÓN DE TUTELA CONTRA PROVIDENCIA JUDICIAL</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DERECHO PROCESAL</w:t>
      </w:r>
      <w:r w:rsidRPr="00EF3D9C">
        <w:rPr>
          <w:rFonts w:ascii="Bookman Old Style" w:eastAsia="Times New Roman" w:hAnsi="Bookman Old Style" w:cs="Times New Roman"/>
          <w:color w:val="000000"/>
          <w:sz w:val="24"/>
          <w:szCs w:val="24"/>
          <w:lang w:eastAsia="es-CO"/>
        </w:rPr>
        <w:t> - Notificaciones - Notificación personal - Notificación por correo electrónico: validación</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DERECHO PROCESAL</w:t>
      </w:r>
      <w:r w:rsidRPr="00EF3D9C">
        <w:rPr>
          <w:rFonts w:ascii="Bookman Old Style" w:eastAsia="Times New Roman" w:hAnsi="Bookman Old Style" w:cs="Times New Roman"/>
          <w:color w:val="000000"/>
          <w:sz w:val="24"/>
          <w:szCs w:val="24"/>
          <w:lang w:eastAsia="es-CO"/>
        </w:rPr>
        <w:t> - Notificaciones - Notificación personal - Notificación por correo electrónico: la constancia del envío del correo electrónico no valida la notificación, cuando no existe prueba de que el mensaje ha sido recibido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DERECHO PROCESAL</w:t>
      </w:r>
      <w:r w:rsidRPr="00EF3D9C">
        <w:rPr>
          <w:rFonts w:ascii="Bookman Old Style" w:eastAsia="Times New Roman" w:hAnsi="Bookman Old Style" w:cs="Times New Roman"/>
          <w:color w:val="000000"/>
          <w:sz w:val="24"/>
          <w:szCs w:val="24"/>
          <w:lang w:eastAsia="es-CO"/>
        </w:rPr>
        <w:t xml:space="preserve"> - Notificaciones - Notificación personal - Notificación por correo electrónico: la presunción de recibido de la comunicación se configura cuando el iniciador </w:t>
      </w:r>
      <w:proofErr w:type="spellStart"/>
      <w:r w:rsidRPr="00EF3D9C">
        <w:rPr>
          <w:rFonts w:ascii="Bookman Old Style" w:eastAsia="Times New Roman" w:hAnsi="Bookman Old Style" w:cs="Times New Roman"/>
          <w:color w:val="000000"/>
          <w:sz w:val="24"/>
          <w:szCs w:val="24"/>
          <w:lang w:eastAsia="es-CO"/>
        </w:rPr>
        <w:t>recepciona</w:t>
      </w:r>
      <w:proofErr w:type="spellEnd"/>
      <w:r w:rsidRPr="00EF3D9C">
        <w:rPr>
          <w:rFonts w:ascii="Bookman Old Style" w:eastAsia="Times New Roman" w:hAnsi="Bookman Old Style" w:cs="Times New Roman"/>
          <w:color w:val="000000"/>
          <w:sz w:val="24"/>
          <w:szCs w:val="24"/>
          <w:lang w:eastAsia="es-CO"/>
        </w:rPr>
        <w:t xml:space="preserve"> acuse de recibo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DERECHO PROCESAL</w:t>
      </w:r>
      <w:r w:rsidRPr="00EF3D9C">
        <w:rPr>
          <w:rFonts w:ascii="Bookman Old Style" w:eastAsia="Times New Roman" w:hAnsi="Bookman Old Style" w:cs="Times New Roman"/>
          <w:color w:val="000000"/>
          <w:sz w:val="24"/>
          <w:szCs w:val="24"/>
          <w:lang w:eastAsia="es-CO"/>
        </w:rPr>
        <w:t> - Notificaciones - Notificación personal - Práctica de la notificación: concepto de iniciador</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DERECHO PROCESAL</w:t>
      </w:r>
      <w:r w:rsidRPr="00EF3D9C">
        <w:rPr>
          <w:rFonts w:ascii="Bookman Old Style" w:eastAsia="Times New Roman" w:hAnsi="Bookman Old Style" w:cs="Times New Roman"/>
          <w:color w:val="000000"/>
          <w:sz w:val="24"/>
          <w:szCs w:val="24"/>
          <w:lang w:eastAsia="es-CO"/>
        </w:rPr>
        <w:t> - Notificaciones - Notificación personal - Notificación por correo electrónico: marco normativo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DERECHO AL DEBIDO PROCESO</w:t>
      </w:r>
      <w:r w:rsidRPr="00EF3D9C">
        <w:rPr>
          <w:rFonts w:ascii="Bookman Old Style" w:eastAsia="Times New Roman" w:hAnsi="Bookman Old Style" w:cs="Times New Roman"/>
          <w:color w:val="000000"/>
          <w:sz w:val="24"/>
          <w:szCs w:val="24"/>
          <w:lang w:eastAsia="es-CO"/>
        </w:rPr>
        <w:t> - Proceso ejecutivo hipotecario: la decisión que resta validez a la notificación electrónica del mandamiento de pago, por falta de acuse de recibo del mensaje, no vulnera el debido proceso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000000"/>
          <w:sz w:val="24"/>
          <w:szCs w:val="24"/>
          <w:lang w:eastAsia="es-CO"/>
        </w:rPr>
        <w:t>DERECHO PROCESAL</w:t>
      </w:r>
      <w:r w:rsidRPr="00EF3D9C">
        <w:rPr>
          <w:rFonts w:ascii="Bookman Old Style" w:eastAsia="Times New Roman" w:hAnsi="Bookman Old Style" w:cs="Times New Roman"/>
          <w:color w:val="000000"/>
          <w:sz w:val="24"/>
          <w:szCs w:val="24"/>
          <w:lang w:eastAsia="es-CO"/>
        </w:rPr>
        <w:t> - Notificaciones - Notificación personal - Notificación por correo electrónico: ineficacia de los certificados emitidos por la empresa de servicio postal para acreditar la entrega de la comunicación electrónica</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b/>
          <w:bCs/>
          <w:color w:val="7D3B05"/>
          <w:sz w:val="24"/>
          <w:szCs w:val="24"/>
          <w:lang w:eastAsia="es-CO"/>
        </w:rPr>
        <w:t>Tesis:</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«El desenlace objetado se ratificará, porque en efecto, la determinación reprochada no es arbitraria.</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Dijo la agencia atacada que la “notificación por correo electrónico” realizada por la precursora a Ruth Pineda Delgado carece de eficacia, porque “no hay acuse de recibo” de la destinataria, en tanto “la empresa de correos” indicó que “los correos no han sido abiertos”.</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 xml:space="preserve">Tal postura, sin dudarlo, encuentra respaldo en el inciso 5 del numeral 3 del artículo 291 del estatuto adjetivo, ya que liga la validez de ese medio de comunicación al “acuso de recibo” por el “destinatario”. Así, consagra que “se presumirá que el destinatario ha recibido la comunicación cuando el iniciador </w:t>
      </w:r>
      <w:proofErr w:type="spellStart"/>
      <w:r w:rsidRPr="00EF3D9C">
        <w:rPr>
          <w:rFonts w:ascii="Bookman Old Style" w:eastAsia="Times New Roman" w:hAnsi="Bookman Old Style" w:cs="Times New Roman"/>
          <w:color w:val="000000"/>
          <w:sz w:val="24"/>
          <w:szCs w:val="24"/>
          <w:lang w:eastAsia="es-CO"/>
        </w:rPr>
        <w:t>recepcione</w:t>
      </w:r>
      <w:proofErr w:type="spellEnd"/>
      <w:r w:rsidRPr="00EF3D9C">
        <w:rPr>
          <w:rFonts w:ascii="Bookman Old Style" w:eastAsia="Times New Roman" w:hAnsi="Bookman Old Style" w:cs="Times New Roman"/>
          <w:color w:val="000000"/>
          <w:sz w:val="24"/>
          <w:szCs w:val="24"/>
          <w:lang w:eastAsia="es-CO"/>
        </w:rPr>
        <w:t xml:space="preserve"> acuse de recibo”.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De suerte, que para entender que la “notificación” ha sido efectiva, el “iniciador”, quien origina el mensaje de datos, debe “</w:t>
      </w:r>
      <w:proofErr w:type="spellStart"/>
      <w:r w:rsidRPr="00EF3D9C">
        <w:rPr>
          <w:rFonts w:ascii="Bookman Old Style" w:eastAsia="Times New Roman" w:hAnsi="Bookman Old Style" w:cs="Times New Roman"/>
          <w:color w:val="000000"/>
          <w:sz w:val="24"/>
          <w:szCs w:val="24"/>
          <w:lang w:eastAsia="es-CO"/>
        </w:rPr>
        <w:t>recepcionar</w:t>
      </w:r>
      <w:proofErr w:type="spellEnd"/>
      <w:r w:rsidRPr="00EF3D9C">
        <w:rPr>
          <w:rFonts w:ascii="Bookman Old Style" w:eastAsia="Times New Roman" w:hAnsi="Bookman Old Style" w:cs="Times New Roman"/>
          <w:color w:val="000000"/>
          <w:sz w:val="24"/>
          <w:szCs w:val="24"/>
          <w:lang w:eastAsia="es-CO"/>
        </w:rPr>
        <w:t xml:space="preserve"> acuse de recibo”. Si no sucede de ese modo, no podrá “presumirse que el destinatario recibió la comunicación”.</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 xml:space="preserve">En armonía con lo explicado, el inciso final del artículo 20 de la Ley 527 de 1999, “por medio de la cual se define y reglamenta el acceso y uso de los mensajes de datos, del comercio electrónico y de las firmas digitales, y se establecen las entidades de certificación y se dictan otras disposiciones”, consagra que “Si el iniciador ha solicitado o acordado con el destinatario que se acuse recibo del mensaje de datos, y expresamente aquél ha indicado que los efectos del mensaje de datos estarán condicionados a la recepción de un acuse de recibo, se considerará que el mensaje de datos no ha sido enviado en tanto que no se haya </w:t>
      </w:r>
      <w:proofErr w:type="spellStart"/>
      <w:r w:rsidRPr="00EF3D9C">
        <w:rPr>
          <w:rFonts w:ascii="Bookman Old Style" w:eastAsia="Times New Roman" w:hAnsi="Bookman Old Style" w:cs="Times New Roman"/>
          <w:color w:val="000000"/>
          <w:sz w:val="24"/>
          <w:szCs w:val="24"/>
          <w:lang w:eastAsia="es-CO"/>
        </w:rPr>
        <w:t>recepcionado</w:t>
      </w:r>
      <w:proofErr w:type="spellEnd"/>
      <w:r w:rsidRPr="00EF3D9C">
        <w:rPr>
          <w:rFonts w:ascii="Bookman Old Style" w:eastAsia="Times New Roman" w:hAnsi="Bookman Old Style" w:cs="Times New Roman"/>
          <w:color w:val="000000"/>
          <w:sz w:val="24"/>
          <w:szCs w:val="24"/>
          <w:lang w:eastAsia="es-CO"/>
        </w:rPr>
        <w:t xml:space="preserve"> el acuse de recibo”.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 xml:space="preserve">A su turno, el canon 21 </w:t>
      </w:r>
      <w:proofErr w:type="spellStart"/>
      <w:r w:rsidRPr="00EF3D9C">
        <w:rPr>
          <w:rFonts w:ascii="Bookman Old Style" w:eastAsia="Times New Roman" w:hAnsi="Bookman Old Style" w:cs="Times New Roman"/>
          <w:color w:val="000000"/>
          <w:sz w:val="24"/>
          <w:szCs w:val="24"/>
          <w:lang w:eastAsia="es-CO"/>
        </w:rPr>
        <w:t>ejusdem</w:t>
      </w:r>
      <w:proofErr w:type="spellEnd"/>
      <w:r w:rsidRPr="00EF3D9C">
        <w:rPr>
          <w:rFonts w:ascii="Bookman Old Style" w:eastAsia="Times New Roman" w:hAnsi="Bookman Old Style" w:cs="Times New Roman"/>
          <w:color w:val="000000"/>
          <w:sz w:val="24"/>
          <w:szCs w:val="24"/>
          <w:lang w:eastAsia="es-CO"/>
        </w:rPr>
        <w:t xml:space="preserve"> dispone que “Cuando el iniciador </w:t>
      </w:r>
      <w:proofErr w:type="spellStart"/>
      <w:r w:rsidRPr="00EF3D9C">
        <w:rPr>
          <w:rFonts w:ascii="Bookman Old Style" w:eastAsia="Times New Roman" w:hAnsi="Bookman Old Style" w:cs="Times New Roman"/>
          <w:color w:val="000000"/>
          <w:sz w:val="24"/>
          <w:szCs w:val="24"/>
          <w:lang w:eastAsia="es-CO"/>
        </w:rPr>
        <w:t>recepcione</w:t>
      </w:r>
      <w:proofErr w:type="spellEnd"/>
      <w:r w:rsidRPr="00EF3D9C">
        <w:rPr>
          <w:rFonts w:ascii="Bookman Old Style" w:eastAsia="Times New Roman" w:hAnsi="Bookman Old Style" w:cs="Times New Roman"/>
          <w:color w:val="000000"/>
          <w:sz w:val="24"/>
          <w:szCs w:val="24"/>
          <w:lang w:eastAsia="es-CO"/>
        </w:rPr>
        <w:t xml:space="preserve"> acuse recibo del destinatario, se presumirá que éste ha recibido el mensaje de datos”. Por su parte, el artículo décimo cuarto del Acuerdo PSAA06-3334 de 2006 de la Sala Administrativa del Consejo Superior de la Judicatura, que reglamenta “la utilización de medios electrónicos e informáticos en el cumplimiento de las funciones de administración de justicia”, consagra que “los mensajes de datos se entienden recibidos de la siguiente manera: a) Cuando el destinatario ha confirmado mediante acuse de recibo la recepción, o éste se ha generado automáticamente”; b) “el destinatario o su representante, realiza cualquier actuación que permita concluir que ha recibido el mensaje de datos”; c) “los actos de comunicación procesal emanados de la autoridad judicial, no han sido devueltos al sistema de información de la autoridad judicial, dentro de los tres (3) días calendario siguiente a su remisión” (se enfatiza).</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Luego, para aceptar este tipo de “comunicación” debe generarse “acuse de recibo del mensaje” y, si no lo hay, el funcionario está habilitado para restarle “eficacia”.</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Ahora, el artículo 20 de la citada Ley 527 regula lo concerniente a dicho mecanismo, al prever que</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"[s]i al enviar o antes de enviar un mensaje de datos, el iniciador solicita o acuerda con el destinatario que se acuse recibo del mensaje de datos, pero no se ha acordado entre éstos una forma o método determinado para efectuarlo, se podrá acusar recibo mediante:</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a) Toda comunicación del destinatario, automatizada o no, 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b) Todo acto del destinatario que baste para indicar al iniciador que se ha recibido el mensaje de datos" (se resalta).</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 xml:space="preserve">Entonces, como la célula judicial censurada no encontró probado ninguno de esas </w:t>
      </w:r>
      <w:proofErr w:type="spellStart"/>
      <w:r w:rsidRPr="00EF3D9C">
        <w:rPr>
          <w:rFonts w:ascii="Bookman Old Style" w:eastAsia="Times New Roman" w:hAnsi="Bookman Old Style" w:cs="Times New Roman"/>
          <w:color w:val="000000"/>
          <w:sz w:val="24"/>
          <w:szCs w:val="24"/>
          <w:lang w:eastAsia="es-CO"/>
        </w:rPr>
        <w:t>hipótesis</w:t>
      </w:r>
      <w:proofErr w:type="spellEnd"/>
      <w:r w:rsidRPr="00EF3D9C">
        <w:rPr>
          <w:rFonts w:ascii="Bookman Old Style" w:eastAsia="Times New Roman" w:hAnsi="Bookman Old Style" w:cs="Times New Roman"/>
          <w:color w:val="000000"/>
          <w:sz w:val="24"/>
          <w:szCs w:val="24"/>
          <w:lang w:eastAsia="es-CO"/>
        </w:rPr>
        <w:t xml:space="preserve"> y, por tanto, que el “iniciador” hubiese “</w:t>
      </w:r>
      <w:proofErr w:type="spellStart"/>
      <w:r w:rsidRPr="00EF3D9C">
        <w:rPr>
          <w:rFonts w:ascii="Bookman Old Style" w:eastAsia="Times New Roman" w:hAnsi="Bookman Old Style" w:cs="Times New Roman"/>
          <w:color w:val="000000"/>
          <w:sz w:val="24"/>
          <w:szCs w:val="24"/>
          <w:lang w:eastAsia="es-CO"/>
        </w:rPr>
        <w:t>recepcionado</w:t>
      </w:r>
      <w:proofErr w:type="spellEnd"/>
      <w:r w:rsidRPr="00EF3D9C">
        <w:rPr>
          <w:rFonts w:ascii="Bookman Old Style" w:eastAsia="Times New Roman" w:hAnsi="Bookman Old Style" w:cs="Times New Roman"/>
          <w:color w:val="000000"/>
          <w:sz w:val="24"/>
          <w:szCs w:val="24"/>
          <w:lang w:eastAsia="es-CO"/>
        </w:rPr>
        <w:t xml:space="preserve"> acuso de recibo del mensaje”, tras advertir que los “correos no han sido abiertos”, es plausible la “negativa a tener en cuenta la notificación por medio de correo electrónico a la demandada”.</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Lo anterior, por supuesto, descarta la tesis que propone la recurrente, quien afirma que los “certificados de entrega -acuses de recibo- emitidos por la empresa de servicio postal autorizado acreditaron la entrega de las comunicaciones de notificación” (</w:t>
      </w:r>
      <w:proofErr w:type="spellStart"/>
      <w:r w:rsidRPr="00EF3D9C">
        <w:rPr>
          <w:rFonts w:ascii="Bookman Old Style" w:eastAsia="Times New Roman" w:hAnsi="Bookman Old Style" w:cs="Times New Roman"/>
          <w:color w:val="000000"/>
          <w:sz w:val="24"/>
          <w:szCs w:val="24"/>
          <w:lang w:eastAsia="es-CO"/>
        </w:rPr>
        <w:t>fl</w:t>
      </w:r>
      <w:proofErr w:type="spellEnd"/>
      <w:r w:rsidRPr="00EF3D9C">
        <w:rPr>
          <w:rFonts w:ascii="Bookman Old Style" w:eastAsia="Times New Roman" w:hAnsi="Bookman Old Style" w:cs="Times New Roman"/>
          <w:color w:val="000000"/>
          <w:sz w:val="24"/>
          <w:szCs w:val="24"/>
          <w:lang w:eastAsia="es-CO"/>
        </w:rPr>
        <w:t>. 51), pues como se vio, no tienen esa calidad y, por tanto, no es posible, con estribo en tales piezas, “presumir” que la comunicación” fue “efectiva”.</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 xml:space="preserve">Ahora, y no es que tuviera que “demostrar” que el “correo fue abierto”, sino que debía demostrar, conforme a las reglas que rigen la materia, que “el iniciador </w:t>
      </w:r>
      <w:proofErr w:type="spellStart"/>
      <w:r w:rsidRPr="00EF3D9C">
        <w:rPr>
          <w:rFonts w:ascii="Bookman Old Style" w:eastAsia="Times New Roman" w:hAnsi="Bookman Old Style" w:cs="Times New Roman"/>
          <w:color w:val="000000"/>
          <w:sz w:val="24"/>
          <w:szCs w:val="24"/>
          <w:lang w:eastAsia="es-CO"/>
        </w:rPr>
        <w:t>recepcionó</w:t>
      </w:r>
      <w:proofErr w:type="spellEnd"/>
      <w:r w:rsidRPr="00EF3D9C">
        <w:rPr>
          <w:rFonts w:ascii="Bookman Old Style" w:eastAsia="Times New Roman" w:hAnsi="Bookman Old Style" w:cs="Times New Roman"/>
          <w:color w:val="000000"/>
          <w:sz w:val="24"/>
          <w:szCs w:val="24"/>
          <w:lang w:eastAsia="es-CO"/>
        </w:rPr>
        <w:t xml:space="preserve"> acuse de recibo”, lo que se repite, no ocurrió en el caso.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Sobre el particular, en CSJ STC16051-2019 se dijo que</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 xml:space="preserve">"En lo tocante a la notificación vía correo electrónico, el inciso quinto del numeral 3º de la misma disposición consagra que se presumirá que el destinatario ha recibido la comunicación “cuando el iniciador </w:t>
      </w:r>
      <w:proofErr w:type="spellStart"/>
      <w:r w:rsidRPr="00EF3D9C">
        <w:rPr>
          <w:rFonts w:ascii="Bookman Old Style" w:eastAsia="Times New Roman" w:hAnsi="Bookman Old Style" w:cs="Times New Roman"/>
          <w:color w:val="000000"/>
          <w:sz w:val="24"/>
          <w:szCs w:val="24"/>
          <w:lang w:eastAsia="es-CO"/>
        </w:rPr>
        <w:t>recepcione</w:t>
      </w:r>
      <w:proofErr w:type="spellEnd"/>
      <w:r w:rsidRPr="00EF3D9C">
        <w:rPr>
          <w:rFonts w:ascii="Bookman Old Style" w:eastAsia="Times New Roman" w:hAnsi="Bookman Old Style" w:cs="Times New Roman"/>
          <w:color w:val="000000"/>
          <w:sz w:val="24"/>
          <w:szCs w:val="24"/>
          <w:lang w:eastAsia="es-CO"/>
        </w:rPr>
        <w:t xml:space="preserve"> acuse de recibo. En este caso, se dejará constancia de ello en el expediente y adjuntará una impresión del mensaje de datos” (se enfatiza). (…) Finalmente y dado que la ley presume que el destinatario del mensaje de datos ha tenido acceso al mismo cuando el sistema de información de la entidad genera el “acuse de recibo”, es importante que éste haya sido certificado por el sistema o por el tercero certificador autorizado.</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3.4. La utilización de “medios electrónicos e informáticos” en las actuaciones judiciales inicialmente fue regulada por la Ley 527 de 1999 “por medio de la cual se define y reglamenta el acceso y uso de los mensajes de datos, del comercio electrónico y de las firmas digitales, y se establecen las entidades de certificación y se dictan otras disposiciones”, que fijó los principios aplicables a la transmisión, recepción, validez, eficacia y prueba de los mensajes de datos, entre otras temáticas relacionadas con el uso de las nuevas tecnologías de la información.</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Su implementación en el cumplimiento de las funciones de administración de justicia se reglamentó por la Sala Administrativa del Consejo Superior de la Judicatura a través del Acuerdo PSAA06-3334 de 2006, cuyos preceptos recogen los postulados decantados por la Ley".</w:t>
      </w:r>
    </w:p>
    <w:p w:rsid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p>
    <w:p w:rsidR="00EF3D9C" w:rsidRPr="00EF3D9C" w:rsidRDefault="00EF3D9C" w:rsidP="00EF3D9C">
      <w:pPr>
        <w:spacing w:after="0" w:line="240" w:lineRule="auto"/>
        <w:jc w:val="both"/>
        <w:rPr>
          <w:rFonts w:ascii="Bookman Old Style" w:eastAsia="Times New Roman" w:hAnsi="Bookman Old Style" w:cs="Times New Roman"/>
          <w:color w:val="000000"/>
          <w:sz w:val="24"/>
          <w:szCs w:val="24"/>
          <w:lang w:eastAsia="es-CO"/>
        </w:rPr>
      </w:pPr>
      <w:r w:rsidRPr="00EF3D9C">
        <w:rPr>
          <w:rFonts w:ascii="Bookman Old Style" w:eastAsia="Times New Roman" w:hAnsi="Bookman Old Style" w:cs="Times New Roman"/>
          <w:color w:val="000000"/>
          <w:sz w:val="24"/>
          <w:szCs w:val="24"/>
          <w:lang w:eastAsia="es-CO"/>
        </w:rPr>
        <w:t>2.- En consecuencia, se avalará lo opugnado».</w:t>
      </w:r>
    </w:p>
    <w:p w:rsidR="00EF3D9C" w:rsidRPr="00EF3D9C" w:rsidRDefault="00EF3D9C" w:rsidP="00EF3D9C">
      <w:pPr>
        <w:spacing w:after="0" w:line="240" w:lineRule="auto"/>
        <w:rPr>
          <w:rFonts w:ascii="Bookman Old Style" w:eastAsia="Times New Roman" w:hAnsi="Bookman Old Style" w:cs="Times New Roman"/>
          <w:color w:val="000000"/>
          <w:sz w:val="24"/>
          <w:szCs w:val="24"/>
          <w:lang w:eastAsia="es-CO"/>
        </w:rPr>
      </w:pPr>
    </w:p>
    <w:p w:rsidR="00994A90" w:rsidRPr="00EF3D9C" w:rsidRDefault="00994A90" w:rsidP="00EF3D9C">
      <w:pPr>
        <w:spacing w:after="0" w:line="240" w:lineRule="auto"/>
        <w:rPr>
          <w:rFonts w:ascii="Bookman Old Style" w:eastAsia="Times New Roman" w:hAnsi="Bookman Old Style" w:cs="Times New Roman"/>
          <w:color w:val="000000"/>
          <w:sz w:val="24"/>
          <w:szCs w:val="24"/>
          <w:lang w:eastAsia="es-CO"/>
        </w:rPr>
      </w:pPr>
    </w:p>
    <w:sectPr w:rsidR="00994A90" w:rsidRPr="00EF3D9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mailMerge>
    <w:mainDocumentType w:val="formLetters"/>
    <w:dataType w:val="textFile"/>
    <w:activeRecord w:val="-1"/>
  </w:mailMerg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D9C"/>
    <w:rsid w:val="00994A90"/>
    <w:rsid w:val="00D71461"/>
    <w:rsid w:val="00EF3D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F154B4-1459-4699-9494-8C99B7210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71461"/>
    <w:rPr>
      <w:color w:val="0563C1" w:themeColor="hyperlink"/>
      <w:u w:val="single"/>
    </w:rPr>
  </w:style>
  <w:style w:type="character" w:styleId="Mencinsinresolver">
    <w:name w:val="Unresolved Mention"/>
    <w:basedOn w:val="Fuentedeprrafopredeter"/>
    <w:uiPriority w:val="99"/>
    <w:semiHidden/>
    <w:unhideWhenUsed/>
    <w:rsid w:val="00D71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322533">
      <w:bodyDiv w:val="1"/>
      <w:marLeft w:val="0"/>
      <w:marRight w:val="0"/>
      <w:marTop w:val="0"/>
      <w:marBottom w:val="0"/>
      <w:divBdr>
        <w:top w:val="none" w:sz="0" w:space="0" w:color="auto"/>
        <w:left w:val="none" w:sz="0" w:space="0" w:color="auto"/>
        <w:bottom w:val="none" w:sz="0" w:space="0" w:color="auto"/>
        <w:right w:val="none" w:sz="0" w:space="0" w:color="auto"/>
      </w:divBdr>
      <w:divsChild>
        <w:div w:id="19351666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cortesuprema.gov.co/corte/wp-content/uploads/relatorias/tutelas/B%20ABR2020/STC690-2020.doc"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4F56CC-6CEB-4989-ADD1-7613F351F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1268</Words>
  <Characters>6976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MOSOS LADINO</dc:creator>
  <cp:keywords/>
  <dc:description/>
  <cp:lastModifiedBy>LUIS MOSOS LADINO</cp:lastModifiedBy>
  <cp:revision>2</cp:revision>
  <dcterms:created xsi:type="dcterms:W3CDTF">2020-04-17T19:20:00Z</dcterms:created>
  <dcterms:modified xsi:type="dcterms:W3CDTF">2020-04-17T20:09:00Z</dcterms:modified>
</cp:coreProperties>
</file>