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6614" w:rsidRPr="000C0061" w:rsidRDefault="003C6614" w:rsidP="003C6614">
      <w:pPr>
        <w:spacing w:line="360" w:lineRule="auto"/>
        <w:jc w:val="center"/>
        <w:rPr>
          <w:rFonts w:ascii="Bookman Old Style" w:hAnsi="Bookman Old Style"/>
          <w:b/>
        </w:rPr>
      </w:pPr>
      <w:r w:rsidRPr="000C0061">
        <w:rPr>
          <w:rFonts w:ascii="Bookman Old Style" w:hAnsi="Bookman Old Style"/>
          <w:b/>
        </w:rPr>
        <w:t>CORTE SUPREMA DE JUSTICIA</w:t>
      </w:r>
    </w:p>
    <w:p w:rsidR="003C6614" w:rsidRPr="000C0061" w:rsidRDefault="003C6614" w:rsidP="003C6614">
      <w:pPr>
        <w:spacing w:line="360" w:lineRule="auto"/>
        <w:jc w:val="center"/>
        <w:rPr>
          <w:rFonts w:ascii="Bookman Old Style" w:hAnsi="Bookman Old Style"/>
          <w:b/>
        </w:rPr>
      </w:pPr>
      <w:r w:rsidRPr="000C0061">
        <w:rPr>
          <w:rFonts w:ascii="Bookman Old Style" w:hAnsi="Bookman Old Style"/>
          <w:b/>
        </w:rPr>
        <w:t>SALA DE CASACIÓN PENAL</w:t>
      </w:r>
    </w:p>
    <w:p w:rsidR="003C6614" w:rsidRDefault="003C6614" w:rsidP="003C6614">
      <w:pPr>
        <w:spacing w:line="360" w:lineRule="auto"/>
        <w:jc w:val="center"/>
        <w:rPr>
          <w:rFonts w:ascii="Bookman Old Style" w:hAnsi="Bookman Old Style"/>
          <w:b/>
          <w:sz w:val="20"/>
          <w:szCs w:val="20"/>
        </w:rPr>
      </w:pPr>
    </w:p>
    <w:p w:rsidR="003C6614" w:rsidRPr="003C6614" w:rsidRDefault="003C6614" w:rsidP="003C6614">
      <w:pPr>
        <w:spacing w:line="360" w:lineRule="auto"/>
        <w:jc w:val="center"/>
        <w:rPr>
          <w:rFonts w:ascii="Bookman Old Style" w:hAnsi="Bookman Old Style"/>
          <w:b/>
          <w:sz w:val="20"/>
          <w:szCs w:val="20"/>
        </w:rPr>
      </w:pPr>
    </w:p>
    <w:p w:rsidR="003C6614" w:rsidRPr="003C6614" w:rsidRDefault="003C6614" w:rsidP="003C6614">
      <w:pPr>
        <w:spacing w:line="360" w:lineRule="auto"/>
        <w:jc w:val="center"/>
        <w:rPr>
          <w:rFonts w:ascii="Bookman Old Style" w:hAnsi="Bookman Old Style"/>
          <w:b/>
        </w:rPr>
      </w:pPr>
      <w:r w:rsidRPr="003C6614">
        <w:rPr>
          <w:rFonts w:ascii="Bookman Old Style" w:hAnsi="Bookman Old Style"/>
          <w:b/>
        </w:rPr>
        <w:t>AP4711-2017</w:t>
      </w:r>
    </w:p>
    <w:p w:rsidR="003C6614" w:rsidRPr="001F3B36" w:rsidRDefault="003C6614" w:rsidP="003C6614">
      <w:pPr>
        <w:spacing w:line="360" w:lineRule="auto"/>
        <w:jc w:val="center"/>
        <w:rPr>
          <w:rFonts w:ascii="Bookman Old Style" w:hAnsi="Bookman Old Style"/>
          <w:b/>
        </w:rPr>
      </w:pPr>
      <w:r w:rsidRPr="001F3B36">
        <w:rPr>
          <w:rFonts w:ascii="Bookman Old Style" w:hAnsi="Bookman Old Style"/>
          <w:b/>
        </w:rPr>
        <w:t>Radicación n</w:t>
      </w:r>
      <w:r w:rsidRPr="001F3B36">
        <w:rPr>
          <w:rFonts w:ascii="Bookman Old Style" w:hAnsi="Bookman Old Style"/>
          <w:b/>
          <w:vertAlign w:val="superscript"/>
        </w:rPr>
        <w:t>o</w:t>
      </w:r>
      <w:r>
        <w:rPr>
          <w:rFonts w:ascii="Bookman Old Style" w:hAnsi="Bookman Old Style"/>
          <w:b/>
        </w:rPr>
        <w:t xml:space="preserve"> 49734</w:t>
      </w:r>
    </w:p>
    <w:p w:rsidR="003C6614" w:rsidRPr="003C6614" w:rsidRDefault="003C6614" w:rsidP="003C6614">
      <w:pPr>
        <w:spacing w:line="360" w:lineRule="auto"/>
        <w:jc w:val="center"/>
        <w:rPr>
          <w:rFonts w:ascii="Bookman Old Style" w:hAnsi="Bookman Old Style"/>
        </w:rPr>
      </w:pPr>
      <w:r w:rsidRPr="003C6614">
        <w:rPr>
          <w:rFonts w:ascii="Bookman Old Style" w:hAnsi="Bookman Old Style"/>
        </w:rPr>
        <w:t>Aprobado Acta N</w:t>
      </w:r>
      <w:r w:rsidRPr="003C6614">
        <w:rPr>
          <w:rFonts w:ascii="Bookman Old Style" w:hAnsi="Bookman Old Style"/>
          <w:vertAlign w:val="superscript"/>
        </w:rPr>
        <w:t xml:space="preserve">o </w:t>
      </w:r>
      <w:r w:rsidRPr="003C6614">
        <w:rPr>
          <w:rFonts w:ascii="Bookman Old Style" w:hAnsi="Bookman Old Style"/>
        </w:rPr>
        <w:t>235</w:t>
      </w:r>
    </w:p>
    <w:p w:rsidR="003C6614" w:rsidRPr="001F3B36" w:rsidRDefault="003C6614" w:rsidP="003C6614">
      <w:pPr>
        <w:spacing w:line="360" w:lineRule="auto"/>
        <w:jc w:val="center"/>
        <w:rPr>
          <w:rFonts w:ascii="Bookman Old Style" w:hAnsi="Bookman Old Style"/>
        </w:rPr>
      </w:pPr>
    </w:p>
    <w:p w:rsidR="003C6614" w:rsidRPr="008E49EE" w:rsidRDefault="003C6614" w:rsidP="003C6614">
      <w:pPr>
        <w:spacing w:line="360" w:lineRule="auto"/>
        <w:ind w:firstLine="708"/>
        <w:jc w:val="both"/>
        <w:rPr>
          <w:rFonts w:ascii="Bookman Old Style" w:hAnsi="Bookman Old Style"/>
        </w:rPr>
      </w:pPr>
      <w:r>
        <w:rPr>
          <w:rFonts w:ascii="Bookman Old Style" w:hAnsi="Bookman Old Style"/>
        </w:rPr>
        <w:t xml:space="preserve">Bogotá D.C., </w:t>
      </w:r>
      <w:r>
        <w:rPr>
          <w:rFonts w:ascii="Bookman Old Style" w:hAnsi="Bookman Old Style"/>
        </w:rPr>
        <w:t>veinticuatro (24) de julio de dos mil diecisiete (2017)</w:t>
      </w:r>
    </w:p>
    <w:p w:rsidR="006A3DD4" w:rsidRPr="003C6614" w:rsidRDefault="006A3DD4" w:rsidP="003C6614">
      <w:pPr>
        <w:spacing w:line="360" w:lineRule="auto"/>
        <w:jc w:val="both"/>
        <w:rPr>
          <w:rFonts w:ascii="Bookman Old Style" w:hAnsi="Bookman Old Style"/>
          <w:b/>
          <w:sz w:val="24"/>
          <w:szCs w:val="24"/>
        </w:rPr>
      </w:pPr>
    </w:p>
    <w:p w:rsidR="006A3DD4" w:rsidRPr="00FA3473" w:rsidRDefault="006A3DD4" w:rsidP="00727F29">
      <w:pPr>
        <w:spacing w:line="336" w:lineRule="auto"/>
        <w:jc w:val="center"/>
        <w:rPr>
          <w:rFonts w:ascii="Bookman Old Style" w:hAnsi="Bookman Old Style"/>
          <w:b/>
          <w:sz w:val="27"/>
          <w:szCs w:val="27"/>
          <w:lang w:val="es-MX"/>
        </w:rPr>
      </w:pPr>
      <w:r w:rsidRPr="00FA3473">
        <w:rPr>
          <w:rFonts w:ascii="Bookman Old Style" w:hAnsi="Bookman Old Style"/>
          <w:b/>
          <w:sz w:val="27"/>
          <w:szCs w:val="27"/>
          <w:lang w:val="es-MX"/>
        </w:rPr>
        <w:t>VISTOS</w:t>
      </w:r>
    </w:p>
    <w:p w:rsidR="006A3DD4" w:rsidRPr="00FA3473" w:rsidRDefault="006A3DD4" w:rsidP="00727F29">
      <w:pPr>
        <w:spacing w:line="336" w:lineRule="auto"/>
        <w:jc w:val="center"/>
        <w:rPr>
          <w:rFonts w:ascii="Bookman Old Style" w:hAnsi="Bookman Old Style"/>
          <w:sz w:val="27"/>
          <w:szCs w:val="27"/>
          <w:lang w:val="es-MX"/>
        </w:rPr>
      </w:pPr>
    </w:p>
    <w:p w:rsidR="00FC1DFD" w:rsidRPr="00FA3473" w:rsidRDefault="006A3DD4" w:rsidP="00727F29">
      <w:pPr>
        <w:spacing w:line="336" w:lineRule="auto"/>
        <w:jc w:val="both"/>
        <w:rPr>
          <w:rFonts w:ascii="Bookman Old Style" w:hAnsi="Bookman Old Style"/>
          <w:sz w:val="27"/>
          <w:szCs w:val="27"/>
          <w:lang w:val="es-MX"/>
        </w:rPr>
      </w:pPr>
      <w:r w:rsidRPr="00FA3473">
        <w:rPr>
          <w:rFonts w:ascii="Bookman Old Style" w:hAnsi="Bookman Old Style"/>
          <w:sz w:val="27"/>
          <w:szCs w:val="27"/>
          <w:lang w:val="es-MX"/>
        </w:rPr>
        <w:tab/>
        <w:t xml:space="preserve">Se </w:t>
      </w:r>
      <w:r w:rsidR="00FC1DFD" w:rsidRPr="00FA3473">
        <w:rPr>
          <w:rFonts w:ascii="Bookman Old Style" w:hAnsi="Bookman Old Style"/>
          <w:sz w:val="27"/>
          <w:szCs w:val="27"/>
          <w:lang w:val="es-MX"/>
        </w:rPr>
        <w:t>resuelve la solicitud</w:t>
      </w:r>
      <w:r w:rsidRPr="00FA3473">
        <w:rPr>
          <w:rFonts w:ascii="Bookman Old Style" w:hAnsi="Bookman Old Style"/>
          <w:sz w:val="27"/>
          <w:szCs w:val="27"/>
          <w:lang w:val="es-MX"/>
        </w:rPr>
        <w:t xml:space="preserve"> de libertad </w:t>
      </w:r>
      <w:r w:rsidR="00FC1DFD" w:rsidRPr="00FA3473">
        <w:rPr>
          <w:rFonts w:ascii="Bookman Old Style" w:hAnsi="Bookman Old Style"/>
          <w:sz w:val="27"/>
          <w:szCs w:val="27"/>
          <w:lang w:val="es-MX"/>
        </w:rPr>
        <w:t xml:space="preserve">por vencimiento del término máximo de vigencia de la medida de aseguramiento, elevada por el </w:t>
      </w:r>
      <w:r w:rsidRPr="00FA3473">
        <w:rPr>
          <w:rFonts w:ascii="Bookman Old Style" w:hAnsi="Bookman Old Style"/>
          <w:sz w:val="27"/>
          <w:szCs w:val="27"/>
          <w:lang w:val="es-MX"/>
        </w:rPr>
        <w:t xml:space="preserve">defensor de JULIO ENRIQUE ACOSTA BERNAL, con </w:t>
      </w:r>
      <w:r w:rsidR="00FC1DFD" w:rsidRPr="00FA3473">
        <w:rPr>
          <w:rFonts w:ascii="Bookman Old Style" w:hAnsi="Bookman Old Style"/>
          <w:sz w:val="27"/>
          <w:szCs w:val="27"/>
          <w:lang w:val="es-MX"/>
        </w:rPr>
        <w:t xml:space="preserve">fundamento en las Leyes 1760 de 2015 y 1786 de 2016. </w:t>
      </w:r>
    </w:p>
    <w:p w:rsidR="00FC1DFD" w:rsidRPr="003C6614" w:rsidRDefault="00FC1DFD" w:rsidP="00727F29">
      <w:pPr>
        <w:spacing w:line="336" w:lineRule="auto"/>
        <w:jc w:val="both"/>
        <w:rPr>
          <w:rFonts w:ascii="Bookman Old Style" w:hAnsi="Bookman Old Style"/>
          <w:sz w:val="24"/>
          <w:szCs w:val="24"/>
          <w:lang w:val="es-MX"/>
        </w:rPr>
      </w:pPr>
    </w:p>
    <w:p w:rsidR="006A3DD4" w:rsidRPr="00FA3473" w:rsidRDefault="00741033" w:rsidP="00727F29">
      <w:pPr>
        <w:spacing w:line="336" w:lineRule="auto"/>
        <w:jc w:val="center"/>
        <w:rPr>
          <w:rFonts w:ascii="Bookman Old Style" w:hAnsi="Bookman Old Style"/>
          <w:b/>
          <w:sz w:val="27"/>
          <w:szCs w:val="27"/>
          <w:lang w:val="es-MX"/>
        </w:rPr>
      </w:pPr>
      <w:r w:rsidRPr="00FA3473">
        <w:rPr>
          <w:rFonts w:ascii="Bookman Old Style" w:hAnsi="Bookman Old Style"/>
          <w:b/>
          <w:sz w:val="27"/>
          <w:szCs w:val="27"/>
          <w:lang w:val="es-MX"/>
        </w:rPr>
        <w:t xml:space="preserve">I. </w:t>
      </w:r>
      <w:r w:rsidR="006A3DD4" w:rsidRPr="00FA3473">
        <w:rPr>
          <w:rFonts w:ascii="Bookman Old Style" w:hAnsi="Bookman Old Style"/>
          <w:b/>
          <w:sz w:val="27"/>
          <w:szCs w:val="27"/>
          <w:lang w:val="es-MX"/>
        </w:rPr>
        <w:t xml:space="preserve">ANTECEDENTES PROCESALES </w:t>
      </w:r>
      <w:r w:rsidRPr="00FA3473">
        <w:rPr>
          <w:rFonts w:ascii="Bookman Old Style" w:hAnsi="Bookman Old Style"/>
          <w:b/>
          <w:sz w:val="27"/>
          <w:szCs w:val="27"/>
          <w:lang w:val="es-MX"/>
        </w:rPr>
        <w:t>PERTINENTES</w:t>
      </w:r>
    </w:p>
    <w:p w:rsidR="006A3DD4" w:rsidRPr="00FA3473" w:rsidRDefault="006A3DD4" w:rsidP="00727F29">
      <w:pPr>
        <w:spacing w:line="336" w:lineRule="auto"/>
        <w:jc w:val="center"/>
        <w:rPr>
          <w:rFonts w:ascii="Bookman Old Style" w:hAnsi="Bookman Old Style"/>
          <w:b/>
          <w:sz w:val="27"/>
          <w:szCs w:val="27"/>
          <w:lang w:val="es-MX"/>
        </w:rPr>
      </w:pPr>
    </w:p>
    <w:p w:rsidR="006A3DD4" w:rsidRPr="00FA3473" w:rsidRDefault="006A3DD4" w:rsidP="00727F29">
      <w:pPr>
        <w:spacing w:line="336" w:lineRule="auto"/>
        <w:ind w:firstLine="708"/>
        <w:jc w:val="both"/>
        <w:rPr>
          <w:rFonts w:ascii="Bookman Old Style" w:hAnsi="Bookman Old Style"/>
          <w:sz w:val="27"/>
          <w:szCs w:val="27"/>
        </w:rPr>
      </w:pPr>
      <w:r w:rsidRPr="00FA3473">
        <w:rPr>
          <w:rFonts w:ascii="Bookman Old Style" w:hAnsi="Bookman Old Style"/>
          <w:sz w:val="27"/>
          <w:szCs w:val="27"/>
          <w:lang w:val="es-MX"/>
        </w:rPr>
        <w:t>1. Mediante resolución de s</w:t>
      </w:r>
      <w:r w:rsidR="00D25BDB" w:rsidRPr="00FA3473">
        <w:rPr>
          <w:rFonts w:ascii="Bookman Old Style" w:hAnsi="Bookman Old Style"/>
          <w:sz w:val="27"/>
          <w:szCs w:val="27"/>
          <w:lang w:val="es-MX"/>
        </w:rPr>
        <w:t xml:space="preserve">ituación jurídica proferida el </w:t>
      </w:r>
      <w:r w:rsidRPr="00FA3473">
        <w:rPr>
          <w:rFonts w:ascii="Bookman Old Style" w:hAnsi="Bookman Old Style"/>
          <w:sz w:val="27"/>
          <w:szCs w:val="27"/>
          <w:lang w:val="es-MX"/>
        </w:rPr>
        <w:t>4 de agosto de 2008</w:t>
      </w:r>
      <w:r w:rsidR="00D25BDB" w:rsidRPr="00FA3473">
        <w:rPr>
          <w:rFonts w:ascii="Bookman Old Style" w:hAnsi="Bookman Old Style"/>
          <w:sz w:val="27"/>
          <w:szCs w:val="27"/>
          <w:lang w:val="es-MX"/>
        </w:rPr>
        <w:t>,</w:t>
      </w:r>
      <w:r w:rsidRPr="00FA3473">
        <w:rPr>
          <w:rFonts w:ascii="Bookman Old Style" w:hAnsi="Bookman Old Style"/>
          <w:sz w:val="27"/>
          <w:szCs w:val="27"/>
          <w:lang w:val="es-MX"/>
        </w:rPr>
        <w:t xml:space="preserve"> la Fiscalía 40 de la Unidad Nacional de Derechos Humanos y Derecho Internacional Humanitario de Cúcuta,</w:t>
      </w:r>
      <w:r w:rsidRPr="00FA3473">
        <w:rPr>
          <w:rFonts w:ascii="Bookman Old Style" w:hAnsi="Bookman Old Style"/>
          <w:sz w:val="27"/>
          <w:szCs w:val="27"/>
        </w:rPr>
        <w:t xml:space="preserve"> dentro del</w:t>
      </w:r>
      <w:r w:rsidR="00D25BDB" w:rsidRPr="00FA3473">
        <w:rPr>
          <w:rFonts w:ascii="Bookman Old Style" w:hAnsi="Bookman Old Style"/>
          <w:sz w:val="27"/>
          <w:szCs w:val="27"/>
        </w:rPr>
        <w:t xml:space="preserve"> proceso</w:t>
      </w:r>
      <w:r w:rsidRPr="00FA3473">
        <w:rPr>
          <w:rFonts w:ascii="Bookman Old Style" w:hAnsi="Bookman Old Style"/>
          <w:sz w:val="27"/>
          <w:szCs w:val="27"/>
        </w:rPr>
        <w:t xml:space="preserve"> radicado</w:t>
      </w:r>
      <w:r w:rsidR="00D25BDB" w:rsidRPr="00FA3473">
        <w:rPr>
          <w:rFonts w:ascii="Bookman Old Style" w:hAnsi="Bookman Old Style"/>
          <w:sz w:val="27"/>
          <w:szCs w:val="27"/>
        </w:rPr>
        <w:t xml:space="preserve"> con el Nº</w:t>
      </w:r>
      <w:r w:rsidRPr="00FA3473">
        <w:rPr>
          <w:rFonts w:ascii="Bookman Old Style" w:hAnsi="Bookman Old Style"/>
          <w:sz w:val="27"/>
          <w:szCs w:val="27"/>
        </w:rPr>
        <w:t xml:space="preserve"> 4</w:t>
      </w:r>
      <w:r w:rsidR="00D25BDB" w:rsidRPr="00FA3473">
        <w:rPr>
          <w:rFonts w:ascii="Bookman Old Style" w:hAnsi="Bookman Old Style"/>
          <w:sz w:val="27"/>
          <w:szCs w:val="27"/>
        </w:rPr>
        <w:t>.</w:t>
      </w:r>
      <w:r w:rsidRPr="00FA3473">
        <w:rPr>
          <w:rFonts w:ascii="Bookman Old Style" w:hAnsi="Bookman Old Style"/>
          <w:sz w:val="27"/>
          <w:szCs w:val="27"/>
        </w:rPr>
        <w:t xml:space="preserve">051, </w:t>
      </w:r>
      <w:r w:rsidRPr="00FA3473">
        <w:rPr>
          <w:rFonts w:ascii="Bookman Old Style" w:hAnsi="Bookman Old Style"/>
          <w:sz w:val="27"/>
          <w:szCs w:val="27"/>
          <w:lang w:val="es-MX"/>
        </w:rPr>
        <w:t>impuso</w:t>
      </w:r>
      <w:r w:rsidRPr="00FA3473">
        <w:rPr>
          <w:rFonts w:ascii="Bookman Old Style" w:hAnsi="Bookman Old Style"/>
          <w:sz w:val="27"/>
          <w:szCs w:val="27"/>
        </w:rPr>
        <w:t xml:space="preserve"> medida de aseguramiento de detención preventiva al ex Gobernador de Arauca, JULIO ENRIQUE ACOSTA BERNAL, como determinador del delito de homicidio agravado y coautor del delito de concierto para delinquir agravado</w:t>
      </w:r>
      <w:r w:rsidRPr="00FA3473">
        <w:rPr>
          <w:rStyle w:val="Refdenotaalpie"/>
          <w:rFonts w:ascii="Bookman Old Style" w:hAnsi="Bookman Old Style"/>
          <w:sz w:val="27"/>
          <w:szCs w:val="27"/>
        </w:rPr>
        <w:footnoteReference w:id="1"/>
      </w:r>
      <w:r w:rsidRPr="00FA3473">
        <w:rPr>
          <w:rFonts w:ascii="Bookman Old Style" w:hAnsi="Bookman Old Style"/>
          <w:sz w:val="27"/>
          <w:szCs w:val="27"/>
        </w:rPr>
        <w:t>.</w:t>
      </w:r>
    </w:p>
    <w:p w:rsidR="006A3DD4" w:rsidRPr="00FA3473" w:rsidRDefault="006A3DD4" w:rsidP="00727F29">
      <w:pPr>
        <w:spacing w:line="336" w:lineRule="auto"/>
        <w:jc w:val="both"/>
        <w:rPr>
          <w:rFonts w:ascii="Bookman Old Style" w:hAnsi="Bookman Old Style"/>
          <w:sz w:val="27"/>
          <w:szCs w:val="27"/>
        </w:rPr>
      </w:pPr>
    </w:p>
    <w:p w:rsidR="006A3DD4" w:rsidRPr="00FA3473" w:rsidRDefault="006A3DD4" w:rsidP="00727F29">
      <w:pPr>
        <w:spacing w:line="336" w:lineRule="auto"/>
        <w:ind w:firstLine="708"/>
        <w:jc w:val="both"/>
        <w:rPr>
          <w:rFonts w:ascii="Bookman Old Style" w:hAnsi="Bookman Old Style"/>
          <w:sz w:val="27"/>
          <w:szCs w:val="27"/>
        </w:rPr>
      </w:pPr>
      <w:r w:rsidRPr="00FA3473">
        <w:rPr>
          <w:rFonts w:ascii="Bookman Old Style" w:hAnsi="Bookman Old Style"/>
          <w:sz w:val="27"/>
          <w:szCs w:val="27"/>
        </w:rPr>
        <w:t xml:space="preserve">2. A través de </w:t>
      </w:r>
      <w:r w:rsidR="00D25BDB" w:rsidRPr="00FA3473">
        <w:rPr>
          <w:rFonts w:ascii="Bookman Old Style" w:hAnsi="Bookman Old Style"/>
          <w:sz w:val="27"/>
          <w:szCs w:val="27"/>
        </w:rPr>
        <w:t>r</w:t>
      </w:r>
      <w:r w:rsidRPr="00FA3473">
        <w:rPr>
          <w:rFonts w:ascii="Bookman Old Style" w:hAnsi="Bookman Old Style"/>
          <w:sz w:val="27"/>
          <w:szCs w:val="27"/>
        </w:rPr>
        <w:t xml:space="preserve">esolución Nº 000167 del 03 de abril del 2009, la Jefatura de la Unidad </w:t>
      </w:r>
      <w:r w:rsidR="00D25BDB" w:rsidRPr="00FA3473">
        <w:rPr>
          <w:rFonts w:ascii="Bookman Old Style" w:hAnsi="Bookman Old Style"/>
          <w:sz w:val="27"/>
          <w:szCs w:val="27"/>
        </w:rPr>
        <w:t>Nacional Derechos Humanos y DIH</w:t>
      </w:r>
      <w:r w:rsidRPr="00FA3473">
        <w:rPr>
          <w:rFonts w:ascii="Bookman Old Style" w:hAnsi="Bookman Old Style"/>
          <w:sz w:val="27"/>
          <w:szCs w:val="27"/>
        </w:rPr>
        <w:t xml:space="preserve"> reasignó la actuación al Fiscal 20 Especializado de Bogot</w:t>
      </w:r>
      <w:r w:rsidR="00D25BDB" w:rsidRPr="00FA3473">
        <w:rPr>
          <w:rFonts w:ascii="Bookman Old Style" w:hAnsi="Bookman Old Style"/>
          <w:sz w:val="27"/>
          <w:szCs w:val="27"/>
        </w:rPr>
        <w:t>á, quien el 5 de agosto de 2010</w:t>
      </w:r>
      <w:r w:rsidRPr="00FA3473">
        <w:rPr>
          <w:rFonts w:ascii="Bookman Old Style" w:hAnsi="Bookman Old Style"/>
          <w:sz w:val="27"/>
          <w:szCs w:val="27"/>
        </w:rPr>
        <w:t xml:space="preserve"> emitió resolución de cierre de la investigación en relación con el procesado ACOSTA BERNAL</w:t>
      </w:r>
      <w:r w:rsidRPr="00FA3473">
        <w:rPr>
          <w:rStyle w:val="Refdenotaalpie"/>
          <w:rFonts w:ascii="Bookman Old Style" w:hAnsi="Bookman Old Style"/>
          <w:sz w:val="27"/>
          <w:szCs w:val="27"/>
        </w:rPr>
        <w:footnoteReference w:id="2"/>
      </w:r>
      <w:r w:rsidRPr="00FA3473">
        <w:rPr>
          <w:rFonts w:ascii="Bookman Old Style" w:hAnsi="Bookman Old Style"/>
          <w:sz w:val="27"/>
          <w:szCs w:val="27"/>
        </w:rPr>
        <w:t xml:space="preserve">. </w:t>
      </w:r>
    </w:p>
    <w:p w:rsidR="00201B30" w:rsidRPr="00FA3473" w:rsidRDefault="00201B30" w:rsidP="00727F29">
      <w:pPr>
        <w:spacing w:line="336" w:lineRule="auto"/>
        <w:ind w:firstLine="708"/>
        <w:jc w:val="both"/>
        <w:rPr>
          <w:rFonts w:ascii="Bookman Old Style" w:hAnsi="Bookman Old Style"/>
          <w:sz w:val="27"/>
          <w:szCs w:val="27"/>
        </w:rPr>
      </w:pPr>
    </w:p>
    <w:p w:rsidR="006A3DD4" w:rsidRPr="00FA3473" w:rsidRDefault="006A3DD4" w:rsidP="00727F29">
      <w:pPr>
        <w:spacing w:line="336" w:lineRule="auto"/>
        <w:ind w:firstLine="708"/>
        <w:jc w:val="both"/>
        <w:rPr>
          <w:rFonts w:ascii="Bookman Old Style" w:hAnsi="Bookman Old Style"/>
          <w:sz w:val="27"/>
          <w:szCs w:val="27"/>
        </w:rPr>
      </w:pPr>
      <w:r w:rsidRPr="00FA3473">
        <w:rPr>
          <w:rFonts w:ascii="Bookman Old Style" w:hAnsi="Bookman Old Style"/>
          <w:sz w:val="27"/>
          <w:szCs w:val="27"/>
        </w:rPr>
        <w:t>3.</w:t>
      </w:r>
      <w:r w:rsidRPr="00FA3473">
        <w:rPr>
          <w:rFonts w:ascii="Bookman Old Style" w:hAnsi="Bookman Old Style"/>
          <w:b/>
          <w:sz w:val="27"/>
          <w:szCs w:val="27"/>
        </w:rPr>
        <w:t xml:space="preserve"> </w:t>
      </w:r>
      <w:r w:rsidRPr="00FA3473">
        <w:rPr>
          <w:rFonts w:ascii="Bookman Old Style" w:hAnsi="Bookman Old Style"/>
          <w:sz w:val="27"/>
          <w:szCs w:val="27"/>
        </w:rPr>
        <w:t>El 17 de diciembre de 2010, la Fiscalía 20 Especializada de la UNDH y DIH profirió resolución de acusación por los delitos ya reseñados, entre otros, respecto al ex gobernador, reiterando la orden de captura en contra suya</w:t>
      </w:r>
      <w:r w:rsidRPr="00FA3473">
        <w:rPr>
          <w:rStyle w:val="Refdenotaalpie"/>
          <w:rFonts w:ascii="Bookman Old Style" w:hAnsi="Bookman Old Style"/>
          <w:sz w:val="27"/>
          <w:szCs w:val="27"/>
        </w:rPr>
        <w:footnoteReference w:id="3"/>
      </w:r>
      <w:r w:rsidRPr="00FA3473">
        <w:rPr>
          <w:rFonts w:ascii="Bookman Old Style" w:hAnsi="Bookman Old Style"/>
          <w:sz w:val="27"/>
          <w:szCs w:val="27"/>
        </w:rPr>
        <w:t xml:space="preserve">. </w:t>
      </w:r>
    </w:p>
    <w:p w:rsidR="006A3DD4" w:rsidRPr="00FA3473" w:rsidRDefault="006A3DD4" w:rsidP="00727F29">
      <w:pPr>
        <w:spacing w:line="336" w:lineRule="auto"/>
        <w:jc w:val="both"/>
        <w:rPr>
          <w:rFonts w:ascii="Bookman Old Style" w:hAnsi="Bookman Old Style"/>
          <w:sz w:val="27"/>
          <w:szCs w:val="27"/>
        </w:rPr>
      </w:pPr>
    </w:p>
    <w:p w:rsidR="006A3DD4" w:rsidRPr="00FA3473" w:rsidRDefault="006A3DD4" w:rsidP="00727F29">
      <w:pPr>
        <w:spacing w:line="336" w:lineRule="auto"/>
        <w:ind w:firstLine="708"/>
        <w:jc w:val="both"/>
        <w:rPr>
          <w:rFonts w:ascii="Bookman Old Style" w:hAnsi="Bookman Old Style"/>
          <w:sz w:val="27"/>
          <w:szCs w:val="27"/>
        </w:rPr>
      </w:pPr>
      <w:r w:rsidRPr="00FA3473">
        <w:rPr>
          <w:rFonts w:ascii="Bookman Old Style" w:hAnsi="Bookman Old Style"/>
          <w:sz w:val="27"/>
          <w:szCs w:val="27"/>
        </w:rPr>
        <w:t>4. Alleg</w:t>
      </w:r>
      <w:r w:rsidR="00D25BDB" w:rsidRPr="00FA3473">
        <w:rPr>
          <w:rFonts w:ascii="Bookman Old Style" w:hAnsi="Bookman Old Style"/>
          <w:sz w:val="27"/>
          <w:szCs w:val="27"/>
        </w:rPr>
        <w:t>ado el Informe DGO. SIES.PJU SIFDAS Nº. 187715/12 del hoy extinto</w:t>
      </w:r>
      <w:r w:rsidRPr="00FA3473">
        <w:rPr>
          <w:rFonts w:ascii="Bookman Old Style" w:hAnsi="Bookman Old Style"/>
          <w:sz w:val="27"/>
          <w:szCs w:val="27"/>
        </w:rPr>
        <w:t xml:space="preserve"> Departamento Administrativo de Seguridad, </w:t>
      </w:r>
      <w:r w:rsidR="007C21AA" w:rsidRPr="00FA3473">
        <w:rPr>
          <w:rFonts w:ascii="Bookman Old Style" w:hAnsi="Bookman Old Style"/>
          <w:sz w:val="27"/>
          <w:szCs w:val="27"/>
        </w:rPr>
        <w:t>del 14 de marzo de 2011</w:t>
      </w:r>
      <w:r w:rsidRPr="00FA3473">
        <w:rPr>
          <w:rFonts w:ascii="Bookman Old Style" w:hAnsi="Bookman Old Style"/>
          <w:sz w:val="27"/>
          <w:szCs w:val="27"/>
        </w:rPr>
        <w:t xml:space="preserve"> se puso en conocimiento la captura de ACOSTA BERNAL, </w:t>
      </w:r>
      <w:r w:rsidR="007C21AA" w:rsidRPr="00FA3473">
        <w:rPr>
          <w:rFonts w:ascii="Bookman Old Style" w:hAnsi="Bookman Old Style"/>
          <w:sz w:val="27"/>
          <w:szCs w:val="27"/>
        </w:rPr>
        <w:t xml:space="preserve">materializada </w:t>
      </w:r>
      <w:r w:rsidRPr="00FA3473">
        <w:rPr>
          <w:rFonts w:ascii="Bookman Old Style" w:hAnsi="Bookman Old Style"/>
          <w:sz w:val="27"/>
          <w:szCs w:val="27"/>
        </w:rPr>
        <w:t>en el barrio Lisboa de la ciudad de Bogotá</w:t>
      </w:r>
      <w:r w:rsidRPr="00FA3473">
        <w:rPr>
          <w:rStyle w:val="Refdenotaalpie"/>
          <w:rFonts w:ascii="Bookman Old Style" w:hAnsi="Bookman Old Style"/>
          <w:sz w:val="27"/>
          <w:szCs w:val="27"/>
        </w:rPr>
        <w:footnoteReference w:id="4"/>
      </w:r>
      <w:r w:rsidRPr="00FA3473">
        <w:rPr>
          <w:rFonts w:ascii="Bookman Old Style" w:hAnsi="Bookman Old Style"/>
          <w:sz w:val="27"/>
          <w:szCs w:val="27"/>
        </w:rPr>
        <w:t>.</w:t>
      </w:r>
    </w:p>
    <w:p w:rsidR="006A3DD4" w:rsidRPr="00FA3473" w:rsidRDefault="006A3DD4" w:rsidP="00727F29">
      <w:pPr>
        <w:spacing w:line="336" w:lineRule="auto"/>
        <w:jc w:val="both"/>
        <w:rPr>
          <w:rFonts w:ascii="Bookman Old Style" w:hAnsi="Bookman Old Style"/>
          <w:sz w:val="27"/>
          <w:szCs w:val="27"/>
        </w:rPr>
      </w:pPr>
    </w:p>
    <w:p w:rsidR="006A3DD4" w:rsidRPr="00FA3473" w:rsidRDefault="006A3DD4" w:rsidP="00727F29">
      <w:pPr>
        <w:spacing w:line="336" w:lineRule="auto"/>
        <w:ind w:firstLine="708"/>
        <w:jc w:val="both"/>
        <w:rPr>
          <w:rFonts w:ascii="Bookman Old Style" w:hAnsi="Bookman Old Style"/>
          <w:sz w:val="27"/>
          <w:szCs w:val="27"/>
        </w:rPr>
      </w:pPr>
      <w:r w:rsidRPr="00FA3473">
        <w:rPr>
          <w:rFonts w:ascii="Bookman Old Style" w:hAnsi="Bookman Old Style"/>
          <w:sz w:val="27"/>
          <w:szCs w:val="27"/>
        </w:rPr>
        <w:t>5.</w:t>
      </w:r>
      <w:r w:rsidRPr="00FA3473">
        <w:rPr>
          <w:rFonts w:ascii="Bookman Old Style" w:hAnsi="Bookman Old Style"/>
          <w:b/>
          <w:sz w:val="27"/>
          <w:szCs w:val="27"/>
        </w:rPr>
        <w:t xml:space="preserve"> </w:t>
      </w:r>
      <w:r w:rsidR="007C21AA" w:rsidRPr="00FA3473">
        <w:rPr>
          <w:rFonts w:ascii="Bookman Old Style" w:hAnsi="Bookman Old Style"/>
          <w:sz w:val="27"/>
          <w:szCs w:val="27"/>
        </w:rPr>
        <w:t xml:space="preserve">El </w:t>
      </w:r>
      <w:r w:rsidRPr="00FA3473">
        <w:rPr>
          <w:rFonts w:ascii="Bookman Old Style" w:hAnsi="Bookman Old Style"/>
          <w:sz w:val="27"/>
          <w:szCs w:val="27"/>
        </w:rPr>
        <w:t xml:space="preserve">5 de noviembre de 2013, el Juzgado </w:t>
      </w:r>
      <w:r w:rsidR="007C21AA" w:rsidRPr="00FA3473">
        <w:rPr>
          <w:rFonts w:ascii="Bookman Old Style" w:hAnsi="Bookman Old Style"/>
          <w:sz w:val="27"/>
          <w:szCs w:val="27"/>
        </w:rPr>
        <w:t>5º</w:t>
      </w:r>
      <w:r w:rsidRPr="00FA3473">
        <w:rPr>
          <w:rFonts w:ascii="Bookman Old Style" w:hAnsi="Bookman Old Style"/>
          <w:sz w:val="27"/>
          <w:szCs w:val="27"/>
        </w:rPr>
        <w:t xml:space="preserve"> Penal Especializado </w:t>
      </w:r>
      <w:r w:rsidR="007C21AA" w:rsidRPr="00FA3473">
        <w:rPr>
          <w:rFonts w:ascii="Bookman Old Style" w:hAnsi="Bookman Old Style"/>
          <w:sz w:val="27"/>
          <w:szCs w:val="27"/>
        </w:rPr>
        <w:t>del Circuito de Medellín</w:t>
      </w:r>
      <w:r w:rsidRPr="00FA3473">
        <w:rPr>
          <w:rFonts w:ascii="Bookman Old Style" w:hAnsi="Bookman Old Style"/>
          <w:sz w:val="27"/>
          <w:szCs w:val="27"/>
        </w:rPr>
        <w:t xml:space="preserve"> profirió sentencia condenatoria en contra de JULIO ENRIQUE ACOSTA BERNAL, como determinador del delito de homicidio agravado </w:t>
      </w:r>
      <w:r w:rsidR="007C21AA" w:rsidRPr="00FA3473">
        <w:rPr>
          <w:rFonts w:ascii="Bookman Old Style" w:hAnsi="Bookman Old Style"/>
          <w:sz w:val="27"/>
          <w:szCs w:val="27"/>
        </w:rPr>
        <w:t xml:space="preserve">(arts. 103 y 104 nums. 7 y 10 del CP) </w:t>
      </w:r>
      <w:r w:rsidRPr="00FA3473">
        <w:rPr>
          <w:rFonts w:ascii="Bookman Old Style" w:hAnsi="Bookman Old Style"/>
          <w:sz w:val="27"/>
          <w:szCs w:val="27"/>
        </w:rPr>
        <w:t xml:space="preserve">de Juan Alejandro Plazas Lomónaco, en concurso heterogéneo con el delito de </w:t>
      </w:r>
      <w:r w:rsidRPr="00FA3473">
        <w:rPr>
          <w:rFonts w:ascii="Bookman Old Style" w:hAnsi="Bookman Old Style"/>
          <w:sz w:val="27"/>
          <w:szCs w:val="27"/>
        </w:rPr>
        <w:lastRenderedPageBreak/>
        <w:t>concierto para delinquir agravado, en calidad de coautor, previsto en al artículo 340, inciso 2º, ibídem</w:t>
      </w:r>
      <w:r w:rsidRPr="00FA3473">
        <w:rPr>
          <w:rStyle w:val="Refdenotaalpie"/>
          <w:rFonts w:ascii="Bookman Old Style" w:hAnsi="Bookman Old Style"/>
          <w:sz w:val="27"/>
          <w:szCs w:val="27"/>
        </w:rPr>
        <w:footnoteReference w:id="5"/>
      </w:r>
      <w:r w:rsidRPr="00FA3473">
        <w:rPr>
          <w:rFonts w:ascii="Bookman Old Style" w:hAnsi="Bookman Old Style"/>
          <w:sz w:val="27"/>
          <w:szCs w:val="27"/>
        </w:rPr>
        <w:t xml:space="preserve">. </w:t>
      </w:r>
    </w:p>
    <w:p w:rsidR="006A3DD4" w:rsidRPr="00FA3473" w:rsidRDefault="006A3DD4" w:rsidP="00727F29">
      <w:pPr>
        <w:spacing w:line="336" w:lineRule="auto"/>
        <w:jc w:val="both"/>
        <w:rPr>
          <w:rFonts w:ascii="Bookman Old Style" w:hAnsi="Bookman Old Style"/>
          <w:sz w:val="27"/>
          <w:szCs w:val="27"/>
          <w:lang w:val="es-MX"/>
        </w:rPr>
      </w:pPr>
    </w:p>
    <w:p w:rsidR="006A3DD4" w:rsidRPr="00FA3473" w:rsidRDefault="006A3DD4" w:rsidP="00727F29">
      <w:pPr>
        <w:spacing w:line="336" w:lineRule="auto"/>
        <w:ind w:firstLine="708"/>
        <w:jc w:val="both"/>
        <w:rPr>
          <w:rFonts w:ascii="Bookman Old Style" w:hAnsi="Bookman Old Style"/>
          <w:sz w:val="27"/>
          <w:szCs w:val="27"/>
        </w:rPr>
      </w:pPr>
      <w:r w:rsidRPr="00FA3473">
        <w:rPr>
          <w:rFonts w:ascii="Bookman Old Style" w:hAnsi="Bookman Old Style"/>
          <w:sz w:val="27"/>
          <w:szCs w:val="27"/>
        </w:rPr>
        <w:t xml:space="preserve">6. Mediante auto del 24 de noviembre de 2015, </w:t>
      </w:r>
      <w:r w:rsidR="007C21AA" w:rsidRPr="00FA3473">
        <w:rPr>
          <w:rFonts w:ascii="Bookman Old Style" w:hAnsi="Bookman Old Style"/>
          <w:sz w:val="27"/>
          <w:szCs w:val="27"/>
        </w:rPr>
        <w:t xml:space="preserve">la Sala Penal del Tribunal Superior de Medellín </w:t>
      </w:r>
      <w:r w:rsidRPr="00FA3473">
        <w:rPr>
          <w:rFonts w:ascii="Bookman Old Style" w:hAnsi="Bookman Old Style"/>
          <w:sz w:val="27"/>
          <w:szCs w:val="27"/>
        </w:rPr>
        <w:t>determinó que carecía de competencia para conocer en segunda instancia de los recursos de</w:t>
      </w:r>
      <w:r w:rsidR="00D43D3B" w:rsidRPr="00FA3473">
        <w:rPr>
          <w:rFonts w:ascii="Bookman Old Style" w:hAnsi="Bookman Old Style"/>
          <w:sz w:val="27"/>
          <w:szCs w:val="27"/>
        </w:rPr>
        <w:t xml:space="preserve"> apelación interpuestos por la F</w:t>
      </w:r>
      <w:r w:rsidRPr="00FA3473">
        <w:rPr>
          <w:rFonts w:ascii="Bookman Old Style" w:hAnsi="Bookman Old Style"/>
          <w:sz w:val="27"/>
          <w:szCs w:val="27"/>
        </w:rPr>
        <w:t>iscalía y por el defensor del procesado respecto a la sentencia proferida en contra</w:t>
      </w:r>
      <w:r w:rsidR="00D43D3B" w:rsidRPr="00FA3473">
        <w:rPr>
          <w:rFonts w:ascii="Bookman Old Style" w:hAnsi="Bookman Old Style"/>
          <w:sz w:val="27"/>
          <w:szCs w:val="27"/>
        </w:rPr>
        <w:t xml:space="preserve"> de JULIO ENRIQUE ACOSTA BERNAL, por tratarse de un aforado constitucional, por lo que remitió</w:t>
      </w:r>
      <w:r w:rsidRPr="00FA3473">
        <w:rPr>
          <w:rFonts w:ascii="Bookman Old Style" w:hAnsi="Bookman Old Style"/>
          <w:sz w:val="27"/>
          <w:szCs w:val="27"/>
        </w:rPr>
        <w:t xml:space="preserve"> el asunto a esta Corporación para que resolviera de plano</w:t>
      </w:r>
      <w:r w:rsidRPr="00FA3473">
        <w:rPr>
          <w:rStyle w:val="Refdenotaalpie"/>
          <w:rFonts w:ascii="Bookman Old Style" w:hAnsi="Bookman Old Style"/>
          <w:sz w:val="27"/>
          <w:szCs w:val="27"/>
        </w:rPr>
        <w:footnoteReference w:id="6"/>
      </w:r>
      <w:r w:rsidRPr="00FA3473">
        <w:rPr>
          <w:rFonts w:ascii="Bookman Old Style" w:hAnsi="Bookman Old Style"/>
          <w:sz w:val="27"/>
          <w:szCs w:val="27"/>
        </w:rPr>
        <w:t xml:space="preserve">. </w:t>
      </w:r>
    </w:p>
    <w:p w:rsidR="006A3DD4" w:rsidRPr="00FA3473" w:rsidRDefault="006A3DD4" w:rsidP="00727F29">
      <w:pPr>
        <w:spacing w:line="336" w:lineRule="auto"/>
        <w:jc w:val="both"/>
        <w:rPr>
          <w:rFonts w:ascii="Bookman Old Style" w:hAnsi="Bookman Old Style"/>
          <w:sz w:val="27"/>
          <w:szCs w:val="27"/>
          <w:lang w:val="es-MX"/>
        </w:rPr>
      </w:pPr>
    </w:p>
    <w:p w:rsidR="006A3DD4" w:rsidRPr="00FA3473" w:rsidRDefault="006A3DD4" w:rsidP="00727F29">
      <w:pPr>
        <w:spacing w:line="336" w:lineRule="auto"/>
        <w:ind w:firstLine="708"/>
        <w:jc w:val="both"/>
        <w:rPr>
          <w:rFonts w:ascii="Bookman Old Style" w:hAnsi="Bookman Old Style"/>
          <w:sz w:val="27"/>
          <w:szCs w:val="27"/>
        </w:rPr>
      </w:pPr>
      <w:r w:rsidRPr="00FA3473">
        <w:rPr>
          <w:rFonts w:ascii="Bookman Old Style" w:hAnsi="Bookman Old Style"/>
          <w:sz w:val="27"/>
          <w:szCs w:val="27"/>
          <w:lang w:val="es-MX"/>
        </w:rPr>
        <w:t xml:space="preserve">7. </w:t>
      </w:r>
      <w:r w:rsidR="00D43D3B" w:rsidRPr="00FA3473">
        <w:rPr>
          <w:rFonts w:ascii="Bookman Old Style" w:hAnsi="Bookman Old Style"/>
          <w:sz w:val="27"/>
          <w:szCs w:val="27"/>
          <w:lang w:val="es-MX"/>
        </w:rPr>
        <w:t>Mediante auto</w:t>
      </w:r>
      <w:r w:rsidRPr="00FA3473">
        <w:rPr>
          <w:rFonts w:ascii="Bookman Old Style" w:hAnsi="Bookman Old Style"/>
          <w:sz w:val="27"/>
          <w:szCs w:val="27"/>
          <w:lang w:val="es-MX"/>
        </w:rPr>
        <w:t xml:space="preserve"> del 30 de marzo de 2016 proferido dentro de la única instancia </w:t>
      </w:r>
      <w:r w:rsidR="00D43D3B" w:rsidRPr="00FA3473">
        <w:rPr>
          <w:rFonts w:ascii="Bookman Old Style" w:hAnsi="Bookman Old Style"/>
          <w:sz w:val="27"/>
          <w:szCs w:val="27"/>
          <w:lang w:val="es-MX"/>
        </w:rPr>
        <w:t xml:space="preserve">Nº </w:t>
      </w:r>
      <w:r w:rsidRPr="00FA3473">
        <w:rPr>
          <w:rFonts w:ascii="Bookman Old Style" w:hAnsi="Bookman Old Style"/>
          <w:sz w:val="27"/>
          <w:szCs w:val="27"/>
          <w:lang w:val="es-MX"/>
        </w:rPr>
        <w:t>47.451</w:t>
      </w:r>
      <w:r w:rsidRPr="00FA3473">
        <w:rPr>
          <w:rStyle w:val="Refdenotaalpie"/>
          <w:rFonts w:ascii="Bookman Old Style" w:hAnsi="Bookman Old Style"/>
          <w:sz w:val="27"/>
          <w:szCs w:val="27"/>
          <w:lang w:val="es-MX"/>
        </w:rPr>
        <w:footnoteReference w:id="7"/>
      </w:r>
      <w:r w:rsidRPr="00FA3473">
        <w:rPr>
          <w:rFonts w:ascii="Bookman Old Style" w:hAnsi="Bookman Old Style"/>
          <w:sz w:val="27"/>
          <w:szCs w:val="27"/>
          <w:lang w:val="es-MX"/>
        </w:rPr>
        <w:t xml:space="preserve">, </w:t>
      </w:r>
      <w:r w:rsidR="00D43D3B" w:rsidRPr="00FA3473">
        <w:rPr>
          <w:rFonts w:ascii="Bookman Old Style" w:hAnsi="Bookman Old Style"/>
          <w:sz w:val="27"/>
          <w:szCs w:val="27"/>
          <w:lang w:val="es-MX"/>
        </w:rPr>
        <w:t>la Sala decretó</w:t>
      </w:r>
      <w:r w:rsidRPr="00FA3473">
        <w:rPr>
          <w:rFonts w:ascii="Bookman Old Style" w:hAnsi="Bookman Old Style"/>
          <w:sz w:val="27"/>
          <w:szCs w:val="27"/>
        </w:rPr>
        <w:t xml:space="preserve"> la nulidad parcial de lo actuado, a partir de la resolución de cierre de investigación, remitiendo la actuación al despacho del Fiscal General de la Nación por razones de competencia, para que asumiera la investigación directamente o, a través de los funcionarios señalados en el artículo 235 numeral 4º de la Constitución Política.</w:t>
      </w:r>
    </w:p>
    <w:p w:rsidR="006A3DD4" w:rsidRPr="00FA3473" w:rsidRDefault="006A3DD4" w:rsidP="00727F29">
      <w:pPr>
        <w:spacing w:line="336" w:lineRule="auto"/>
        <w:ind w:firstLine="709"/>
        <w:jc w:val="both"/>
        <w:rPr>
          <w:rFonts w:ascii="Bookman Old Style" w:hAnsi="Bookman Old Style"/>
          <w:sz w:val="27"/>
          <w:szCs w:val="27"/>
        </w:rPr>
      </w:pPr>
    </w:p>
    <w:p w:rsidR="006A3DD4" w:rsidRDefault="006A3DD4" w:rsidP="00727F29">
      <w:pPr>
        <w:spacing w:line="336" w:lineRule="auto"/>
        <w:ind w:firstLine="709"/>
        <w:jc w:val="both"/>
        <w:rPr>
          <w:rFonts w:ascii="Bookman Old Style" w:hAnsi="Bookman Old Style"/>
          <w:sz w:val="27"/>
          <w:szCs w:val="27"/>
        </w:rPr>
      </w:pPr>
      <w:r w:rsidRPr="00FA3473">
        <w:rPr>
          <w:rFonts w:ascii="Bookman Old Style" w:hAnsi="Bookman Old Style"/>
          <w:sz w:val="27"/>
          <w:szCs w:val="27"/>
        </w:rPr>
        <w:t>A su vez,</w:t>
      </w:r>
      <w:r w:rsidRPr="00FA3473">
        <w:rPr>
          <w:rFonts w:ascii="Bookman Old Style" w:hAnsi="Bookman Old Style"/>
          <w:b/>
          <w:sz w:val="27"/>
          <w:szCs w:val="27"/>
        </w:rPr>
        <w:t xml:space="preserve"> </w:t>
      </w:r>
      <w:r w:rsidRPr="00FA3473">
        <w:rPr>
          <w:rFonts w:ascii="Bookman Old Style" w:hAnsi="Bookman Old Style"/>
          <w:sz w:val="27"/>
          <w:szCs w:val="27"/>
        </w:rPr>
        <w:t>otorgó</w:t>
      </w:r>
      <w:r w:rsidRPr="00FA3473">
        <w:rPr>
          <w:rFonts w:ascii="Bookman Old Style" w:hAnsi="Bookman Old Style"/>
          <w:b/>
          <w:sz w:val="27"/>
          <w:szCs w:val="27"/>
        </w:rPr>
        <w:t xml:space="preserve"> </w:t>
      </w:r>
      <w:r w:rsidRPr="00FA3473">
        <w:rPr>
          <w:rFonts w:ascii="Bookman Old Style" w:hAnsi="Bookman Old Style"/>
          <w:sz w:val="27"/>
          <w:szCs w:val="27"/>
        </w:rPr>
        <w:t>a</w:t>
      </w:r>
      <w:r w:rsidRPr="00FA3473">
        <w:rPr>
          <w:rFonts w:ascii="Bookman Old Style" w:hAnsi="Bookman Old Style"/>
          <w:b/>
          <w:sz w:val="27"/>
          <w:szCs w:val="27"/>
        </w:rPr>
        <w:t xml:space="preserve"> </w:t>
      </w:r>
      <w:r w:rsidRPr="00FA3473">
        <w:rPr>
          <w:rFonts w:ascii="Bookman Old Style" w:hAnsi="Bookman Old Style"/>
          <w:sz w:val="27"/>
          <w:szCs w:val="27"/>
        </w:rPr>
        <w:t>JULIO ENRIQUE ACOSTA BERNAL</w:t>
      </w:r>
      <w:r w:rsidRPr="00FA3473">
        <w:rPr>
          <w:rFonts w:ascii="Bookman Old Style" w:hAnsi="Bookman Old Style"/>
          <w:b/>
          <w:sz w:val="27"/>
          <w:szCs w:val="27"/>
        </w:rPr>
        <w:t xml:space="preserve"> </w:t>
      </w:r>
      <w:r w:rsidRPr="00FA3473">
        <w:rPr>
          <w:rFonts w:ascii="Bookman Old Style" w:hAnsi="Bookman Old Style"/>
          <w:sz w:val="27"/>
          <w:szCs w:val="27"/>
        </w:rPr>
        <w:t>la libertad provisional, conforme a lo previsto en el art</w:t>
      </w:r>
      <w:r w:rsidR="00D43D3B" w:rsidRPr="00FA3473">
        <w:rPr>
          <w:rFonts w:ascii="Bookman Old Style" w:hAnsi="Bookman Old Style"/>
          <w:sz w:val="27"/>
          <w:szCs w:val="27"/>
        </w:rPr>
        <w:t>.</w:t>
      </w:r>
      <w:r w:rsidRPr="00FA3473">
        <w:rPr>
          <w:rFonts w:ascii="Bookman Old Style" w:hAnsi="Bookman Old Style"/>
          <w:sz w:val="27"/>
          <w:szCs w:val="27"/>
        </w:rPr>
        <w:t xml:space="preserve"> 365</w:t>
      </w:r>
      <w:r w:rsidR="00D43D3B" w:rsidRPr="00FA3473">
        <w:rPr>
          <w:rFonts w:ascii="Bookman Old Style" w:hAnsi="Bookman Old Style"/>
          <w:sz w:val="27"/>
          <w:szCs w:val="27"/>
        </w:rPr>
        <w:t>-4</w:t>
      </w:r>
      <w:r w:rsidRPr="00FA3473">
        <w:rPr>
          <w:rFonts w:ascii="Bookman Old Style" w:hAnsi="Bookman Old Style"/>
          <w:sz w:val="27"/>
          <w:szCs w:val="27"/>
        </w:rPr>
        <w:t xml:space="preserve"> de la Ley 600 de 2000, en concordancia con el artículo 15 transitorio </w:t>
      </w:r>
      <w:r w:rsidRPr="00FA3473">
        <w:rPr>
          <w:rFonts w:ascii="Bookman Old Style" w:hAnsi="Bookman Old Style"/>
          <w:i/>
          <w:sz w:val="27"/>
          <w:szCs w:val="27"/>
        </w:rPr>
        <w:t>ibídem</w:t>
      </w:r>
      <w:r w:rsidRPr="00FA3473">
        <w:rPr>
          <w:rFonts w:ascii="Bookman Old Style" w:hAnsi="Bookman Old Style"/>
          <w:sz w:val="27"/>
          <w:szCs w:val="27"/>
        </w:rPr>
        <w:t>, por cuenta de este proceso, dejándolo a disposición de</w:t>
      </w:r>
      <w:r w:rsidR="00D43D3B" w:rsidRPr="00FA3473">
        <w:rPr>
          <w:rFonts w:ascii="Bookman Old Style" w:hAnsi="Bookman Old Style"/>
          <w:sz w:val="27"/>
          <w:szCs w:val="27"/>
        </w:rPr>
        <w:t>l proceso de</w:t>
      </w:r>
      <w:r w:rsidRPr="00FA3473">
        <w:rPr>
          <w:rFonts w:ascii="Bookman Old Style" w:hAnsi="Bookman Old Style"/>
          <w:sz w:val="27"/>
          <w:szCs w:val="27"/>
        </w:rPr>
        <w:t xml:space="preserve"> única instancia</w:t>
      </w:r>
      <w:r w:rsidR="00D43D3B" w:rsidRPr="00FA3473">
        <w:rPr>
          <w:rFonts w:ascii="Bookman Old Style" w:hAnsi="Bookman Old Style"/>
          <w:sz w:val="27"/>
          <w:szCs w:val="27"/>
        </w:rPr>
        <w:t xml:space="preserve"> Nº</w:t>
      </w:r>
      <w:r w:rsidRPr="00FA3473">
        <w:rPr>
          <w:rFonts w:ascii="Bookman Old Style" w:hAnsi="Bookman Old Style"/>
          <w:sz w:val="27"/>
          <w:szCs w:val="27"/>
        </w:rPr>
        <w:t xml:space="preserve"> 43.263 que se le </w:t>
      </w:r>
      <w:r w:rsidRPr="00FA3473">
        <w:rPr>
          <w:rFonts w:ascii="Bookman Old Style" w:hAnsi="Bookman Old Style"/>
          <w:sz w:val="27"/>
          <w:szCs w:val="27"/>
        </w:rPr>
        <w:lastRenderedPageBreak/>
        <w:t xml:space="preserve">sigue a </w:t>
      </w:r>
      <w:r w:rsidR="00D43D3B" w:rsidRPr="00FA3473">
        <w:rPr>
          <w:rFonts w:ascii="Bookman Old Style" w:hAnsi="Bookman Old Style"/>
          <w:sz w:val="27"/>
          <w:szCs w:val="27"/>
        </w:rPr>
        <w:t xml:space="preserve">aquél </w:t>
      </w:r>
      <w:r w:rsidRPr="00FA3473">
        <w:rPr>
          <w:rFonts w:ascii="Bookman Old Style" w:hAnsi="Bookman Old Style"/>
          <w:sz w:val="27"/>
          <w:szCs w:val="27"/>
        </w:rPr>
        <w:t>en esta Corporación, para el cumplimiento de una medida de detención preventiva que allí le fue impuesta</w:t>
      </w:r>
      <w:r w:rsidRPr="00FA3473">
        <w:rPr>
          <w:rStyle w:val="Refdenotaalpie"/>
          <w:rFonts w:ascii="Bookman Old Style" w:hAnsi="Bookman Old Style"/>
          <w:sz w:val="27"/>
          <w:szCs w:val="27"/>
        </w:rPr>
        <w:footnoteReference w:id="8"/>
      </w:r>
      <w:r w:rsidRPr="00FA3473">
        <w:rPr>
          <w:rFonts w:ascii="Bookman Old Style" w:hAnsi="Bookman Old Style"/>
          <w:sz w:val="27"/>
          <w:szCs w:val="27"/>
        </w:rPr>
        <w:t>.</w:t>
      </w:r>
    </w:p>
    <w:p w:rsidR="00050E00" w:rsidRPr="00FA3473" w:rsidRDefault="00050E00" w:rsidP="00727F29">
      <w:pPr>
        <w:spacing w:line="336" w:lineRule="auto"/>
        <w:ind w:firstLine="709"/>
        <w:jc w:val="both"/>
        <w:rPr>
          <w:rFonts w:ascii="Bookman Old Style" w:hAnsi="Bookman Old Style"/>
          <w:sz w:val="27"/>
          <w:szCs w:val="27"/>
        </w:rPr>
      </w:pPr>
    </w:p>
    <w:p w:rsidR="00263D15" w:rsidRPr="00FA3473" w:rsidRDefault="006A3DD4" w:rsidP="00727F29">
      <w:pPr>
        <w:spacing w:line="336" w:lineRule="auto"/>
        <w:ind w:firstLine="709"/>
        <w:jc w:val="both"/>
        <w:rPr>
          <w:rFonts w:ascii="Bookman Old Style" w:hAnsi="Bookman Old Style"/>
          <w:sz w:val="27"/>
          <w:szCs w:val="27"/>
        </w:rPr>
      </w:pPr>
      <w:r w:rsidRPr="00FA3473">
        <w:rPr>
          <w:rFonts w:ascii="Bookman Old Style" w:hAnsi="Bookman Old Style"/>
          <w:sz w:val="27"/>
          <w:szCs w:val="27"/>
        </w:rPr>
        <w:t>Para tal efecto, impuso al procesado el pago o la constitución de una póliza de garantía de una caución prendaria de cincuenta salarios mínimos legales vigentes y la suscripción de la correspondiente diligencia de compromiso, conforme a lo previsto en los artículos 368 y 369 de la Ley 600 de 2000.</w:t>
      </w:r>
      <w:r w:rsidR="00263D15" w:rsidRPr="00FA3473">
        <w:rPr>
          <w:rFonts w:ascii="Bookman Old Style" w:hAnsi="Bookman Old Style"/>
          <w:sz w:val="27"/>
          <w:szCs w:val="27"/>
        </w:rPr>
        <w:t xml:space="preserve"> La caución </w:t>
      </w:r>
      <w:r w:rsidR="00263D15" w:rsidRPr="00FA3473">
        <w:rPr>
          <w:rFonts w:ascii="Bookman Old Style" w:hAnsi="Bookman Old Style"/>
          <w:sz w:val="27"/>
          <w:szCs w:val="27"/>
          <w:lang w:val="es-MX"/>
        </w:rPr>
        <w:t>fue constituida mediante título de depósito Nº A 6227254, suscrito en el Banco Agrario de Colombia, por valor de $34.500.000.oo, equivalentes a 50 SMLMV, tal como se dispuso por esta Corporación en auto del 30 de marzo de 2016.</w:t>
      </w:r>
    </w:p>
    <w:p w:rsidR="006A3DD4" w:rsidRPr="00FA3473" w:rsidRDefault="006A3DD4" w:rsidP="00727F29">
      <w:pPr>
        <w:spacing w:line="336" w:lineRule="auto"/>
        <w:ind w:firstLine="709"/>
        <w:jc w:val="both"/>
        <w:rPr>
          <w:rFonts w:ascii="Bookman Old Style" w:hAnsi="Bookman Old Style"/>
          <w:sz w:val="27"/>
          <w:szCs w:val="27"/>
        </w:rPr>
      </w:pPr>
    </w:p>
    <w:p w:rsidR="006A3DD4" w:rsidRPr="00FA3473" w:rsidRDefault="006A3DD4" w:rsidP="00727F29">
      <w:pPr>
        <w:spacing w:line="336" w:lineRule="auto"/>
        <w:ind w:firstLine="708"/>
        <w:jc w:val="both"/>
        <w:rPr>
          <w:rFonts w:ascii="Bookman Old Style" w:hAnsi="Bookman Old Style"/>
          <w:sz w:val="27"/>
          <w:szCs w:val="27"/>
        </w:rPr>
      </w:pPr>
      <w:r w:rsidRPr="00FA3473">
        <w:rPr>
          <w:rFonts w:ascii="Bookman Old Style" w:hAnsi="Bookman Old Style"/>
          <w:sz w:val="27"/>
          <w:szCs w:val="27"/>
        </w:rPr>
        <w:t xml:space="preserve">8. En atención a que </w:t>
      </w:r>
      <w:r w:rsidR="00E34991" w:rsidRPr="00FA3473">
        <w:rPr>
          <w:rFonts w:ascii="Bookman Old Style" w:hAnsi="Bookman Old Style"/>
          <w:sz w:val="27"/>
          <w:szCs w:val="27"/>
        </w:rPr>
        <w:t>el defensor</w:t>
      </w:r>
      <w:r w:rsidRPr="00FA3473">
        <w:rPr>
          <w:rFonts w:ascii="Bookman Old Style" w:hAnsi="Bookman Old Style"/>
          <w:sz w:val="27"/>
          <w:szCs w:val="27"/>
        </w:rPr>
        <w:t xml:space="preserve"> aportó el </w:t>
      </w:r>
      <w:r w:rsidR="00263D15" w:rsidRPr="00FA3473">
        <w:rPr>
          <w:rFonts w:ascii="Bookman Old Style" w:hAnsi="Bookman Old Style"/>
          <w:sz w:val="27"/>
          <w:szCs w:val="27"/>
        </w:rPr>
        <w:t xml:space="preserve">mencionado título de depósito judicial, mediante </w:t>
      </w:r>
      <w:r w:rsidRPr="00FA3473">
        <w:rPr>
          <w:rFonts w:ascii="Bookman Old Style" w:hAnsi="Bookman Old Style"/>
          <w:sz w:val="27"/>
          <w:szCs w:val="27"/>
        </w:rPr>
        <w:t xml:space="preserve">resolución del 17 de noviembre de 2016, la Fiscalía </w:t>
      </w:r>
      <w:r w:rsidR="003E0606" w:rsidRPr="00FA3473">
        <w:rPr>
          <w:rFonts w:ascii="Bookman Old Style" w:hAnsi="Bookman Old Style"/>
          <w:sz w:val="27"/>
          <w:szCs w:val="27"/>
        </w:rPr>
        <w:t xml:space="preserve">7ª </w:t>
      </w:r>
      <w:r w:rsidRPr="00FA3473">
        <w:rPr>
          <w:rFonts w:ascii="Bookman Old Style" w:hAnsi="Bookman Old Style"/>
          <w:sz w:val="27"/>
          <w:szCs w:val="27"/>
        </w:rPr>
        <w:t>Delegada ante la Corte Suprema de Justicia</w:t>
      </w:r>
      <w:r w:rsidR="00263D15" w:rsidRPr="00FA3473">
        <w:rPr>
          <w:rFonts w:ascii="Bookman Old Style" w:hAnsi="Bookman Old Style"/>
          <w:sz w:val="27"/>
          <w:szCs w:val="27"/>
        </w:rPr>
        <w:t xml:space="preserve"> </w:t>
      </w:r>
      <w:r w:rsidR="00EB5DC5" w:rsidRPr="00FA3473">
        <w:rPr>
          <w:rFonts w:ascii="Bookman Old Style" w:hAnsi="Bookman Old Style"/>
          <w:sz w:val="27"/>
          <w:szCs w:val="27"/>
        </w:rPr>
        <w:t>expidió</w:t>
      </w:r>
      <w:r w:rsidRPr="00FA3473">
        <w:rPr>
          <w:rFonts w:ascii="Bookman Old Style" w:hAnsi="Bookman Old Style"/>
          <w:sz w:val="27"/>
          <w:szCs w:val="27"/>
        </w:rPr>
        <w:t xml:space="preserve"> la correspondiente boleta de libertad</w:t>
      </w:r>
      <w:r w:rsidR="00EB5DC5" w:rsidRPr="00FA3473">
        <w:rPr>
          <w:rFonts w:ascii="Bookman Old Style" w:hAnsi="Bookman Old Style"/>
          <w:sz w:val="27"/>
          <w:szCs w:val="27"/>
        </w:rPr>
        <w:t>,</w:t>
      </w:r>
      <w:r w:rsidRPr="00FA3473">
        <w:rPr>
          <w:rFonts w:ascii="Bookman Old Style" w:hAnsi="Bookman Old Style"/>
          <w:sz w:val="27"/>
          <w:szCs w:val="27"/>
        </w:rPr>
        <w:t xml:space="preserve"> previa suscripción de diligencia de compromiso</w:t>
      </w:r>
      <w:r w:rsidRPr="00FA3473">
        <w:rPr>
          <w:rStyle w:val="Refdenotaalpie"/>
          <w:rFonts w:ascii="Bookman Old Style" w:hAnsi="Bookman Old Style"/>
          <w:sz w:val="27"/>
          <w:szCs w:val="27"/>
        </w:rPr>
        <w:footnoteReference w:id="9"/>
      </w:r>
      <w:r w:rsidRPr="00FA3473">
        <w:rPr>
          <w:rFonts w:ascii="Bookman Old Style" w:hAnsi="Bookman Old Style"/>
          <w:sz w:val="27"/>
          <w:szCs w:val="27"/>
        </w:rPr>
        <w:t>, dejando al procesado a disposición de esta Sala dentro de la Única Instancia 43.263, a partir del 18 de noviembre de 2016</w:t>
      </w:r>
      <w:r w:rsidRPr="00FA3473">
        <w:rPr>
          <w:rStyle w:val="Refdenotaalpie"/>
          <w:rFonts w:ascii="Bookman Old Style" w:hAnsi="Bookman Old Style"/>
          <w:sz w:val="27"/>
          <w:szCs w:val="27"/>
        </w:rPr>
        <w:footnoteReference w:id="10"/>
      </w:r>
      <w:r w:rsidRPr="00FA3473">
        <w:rPr>
          <w:rFonts w:ascii="Bookman Old Style" w:hAnsi="Bookman Old Style"/>
          <w:sz w:val="27"/>
          <w:szCs w:val="27"/>
        </w:rPr>
        <w:t>.</w:t>
      </w:r>
    </w:p>
    <w:p w:rsidR="006A3DD4" w:rsidRPr="00FA3473" w:rsidRDefault="006A3DD4" w:rsidP="00727F29">
      <w:pPr>
        <w:spacing w:line="336" w:lineRule="auto"/>
        <w:ind w:firstLine="709"/>
        <w:jc w:val="both"/>
        <w:rPr>
          <w:rFonts w:ascii="Bookman Old Style" w:hAnsi="Bookman Old Style"/>
          <w:sz w:val="27"/>
          <w:szCs w:val="27"/>
        </w:rPr>
      </w:pPr>
    </w:p>
    <w:p w:rsidR="006A3DD4" w:rsidRPr="00FA3473" w:rsidRDefault="006A3DD4" w:rsidP="00727F29">
      <w:pPr>
        <w:spacing w:line="336" w:lineRule="auto"/>
        <w:ind w:firstLine="708"/>
        <w:jc w:val="both"/>
        <w:rPr>
          <w:rFonts w:ascii="Bookman Old Style" w:hAnsi="Bookman Old Style"/>
          <w:sz w:val="27"/>
          <w:szCs w:val="27"/>
        </w:rPr>
      </w:pPr>
      <w:r w:rsidRPr="00FA3473">
        <w:rPr>
          <w:rFonts w:ascii="Bookman Old Style" w:hAnsi="Bookman Old Style"/>
          <w:sz w:val="27"/>
          <w:szCs w:val="27"/>
          <w:lang w:val="es-CO"/>
        </w:rPr>
        <w:lastRenderedPageBreak/>
        <w:t>9</w:t>
      </w:r>
      <w:r w:rsidR="009C301F" w:rsidRPr="00FA3473">
        <w:rPr>
          <w:rFonts w:ascii="Bookman Old Style" w:hAnsi="Bookman Old Style"/>
          <w:sz w:val="27"/>
          <w:szCs w:val="27"/>
          <w:lang w:val="es-CO"/>
        </w:rPr>
        <w:t xml:space="preserve">. Con auto del </w:t>
      </w:r>
      <w:r w:rsidRPr="00FA3473">
        <w:rPr>
          <w:rFonts w:ascii="Bookman Old Style" w:hAnsi="Bookman Old Style"/>
          <w:sz w:val="27"/>
          <w:szCs w:val="27"/>
          <w:lang w:val="es-CO"/>
        </w:rPr>
        <w:t>1</w:t>
      </w:r>
      <w:r w:rsidR="009C301F" w:rsidRPr="00FA3473">
        <w:rPr>
          <w:rFonts w:ascii="Bookman Old Style" w:hAnsi="Bookman Old Style"/>
          <w:sz w:val="27"/>
          <w:szCs w:val="27"/>
          <w:lang w:val="es-CO"/>
        </w:rPr>
        <w:t>º</w:t>
      </w:r>
      <w:r w:rsidRPr="00FA3473">
        <w:rPr>
          <w:rFonts w:ascii="Bookman Old Style" w:hAnsi="Bookman Old Style"/>
          <w:sz w:val="27"/>
          <w:szCs w:val="27"/>
          <w:lang w:val="es-CO"/>
        </w:rPr>
        <w:t xml:space="preserve"> de junio de 2017, la Corte dispuso revocar la medida de aseguramiento de detención preventiva que cumplía el procesado ACOSTA BERNAL, dentro de</w:t>
      </w:r>
      <w:r w:rsidR="005A6C0C" w:rsidRPr="00FA3473">
        <w:rPr>
          <w:rFonts w:ascii="Bookman Old Style" w:hAnsi="Bookman Old Style"/>
          <w:sz w:val="27"/>
          <w:szCs w:val="27"/>
          <w:lang w:val="es-CO"/>
        </w:rPr>
        <w:t>l proceso de</w:t>
      </w:r>
      <w:r w:rsidRPr="00FA3473">
        <w:rPr>
          <w:rFonts w:ascii="Bookman Old Style" w:hAnsi="Bookman Old Style"/>
          <w:sz w:val="27"/>
          <w:szCs w:val="27"/>
          <w:lang w:val="es-CO"/>
        </w:rPr>
        <w:t xml:space="preserve"> única instancia </w:t>
      </w:r>
      <w:r w:rsidR="009C301F" w:rsidRPr="00FA3473">
        <w:rPr>
          <w:rFonts w:ascii="Bookman Old Style" w:hAnsi="Bookman Old Style"/>
          <w:sz w:val="27"/>
          <w:szCs w:val="27"/>
          <w:lang w:val="es-CO"/>
        </w:rPr>
        <w:t>Nº</w:t>
      </w:r>
      <w:r w:rsidRPr="00FA3473">
        <w:rPr>
          <w:rFonts w:ascii="Bookman Old Style" w:hAnsi="Bookman Old Style"/>
          <w:sz w:val="27"/>
          <w:szCs w:val="27"/>
          <w:lang w:val="es-CO"/>
        </w:rPr>
        <w:t xml:space="preserve"> 43.263, ordenando que</w:t>
      </w:r>
      <w:r w:rsidR="009C301F" w:rsidRPr="00FA3473">
        <w:rPr>
          <w:rFonts w:ascii="Bookman Old Style" w:hAnsi="Bookman Old Style"/>
          <w:sz w:val="27"/>
          <w:szCs w:val="27"/>
          <w:lang w:val="es-CO"/>
        </w:rPr>
        <w:t>,</w:t>
      </w:r>
      <w:r w:rsidRPr="00FA3473">
        <w:rPr>
          <w:rFonts w:ascii="Bookman Old Style" w:hAnsi="Bookman Old Style"/>
          <w:sz w:val="27"/>
          <w:szCs w:val="27"/>
          <w:lang w:val="es-CO"/>
        </w:rPr>
        <w:t xml:space="preserve"> a partir de entonces</w:t>
      </w:r>
      <w:r w:rsidR="009C301F" w:rsidRPr="00FA3473">
        <w:rPr>
          <w:rFonts w:ascii="Bookman Old Style" w:hAnsi="Bookman Old Style"/>
          <w:sz w:val="27"/>
          <w:szCs w:val="27"/>
          <w:lang w:val="es-CO"/>
        </w:rPr>
        <w:t>,</w:t>
      </w:r>
      <w:r w:rsidRPr="00FA3473">
        <w:rPr>
          <w:rFonts w:ascii="Bookman Old Style" w:hAnsi="Bookman Old Style"/>
          <w:sz w:val="27"/>
          <w:szCs w:val="27"/>
          <w:lang w:val="es-CO"/>
        </w:rPr>
        <w:t xml:space="preserve"> q</w:t>
      </w:r>
      <w:r w:rsidR="009C301F" w:rsidRPr="00FA3473">
        <w:rPr>
          <w:rFonts w:ascii="Bookman Old Style" w:hAnsi="Bookman Old Style"/>
          <w:sz w:val="27"/>
          <w:szCs w:val="27"/>
          <w:lang w:val="es-CO"/>
        </w:rPr>
        <w:t>uedaba a disposición de la Sala</w:t>
      </w:r>
      <w:r w:rsidRPr="00FA3473">
        <w:rPr>
          <w:rFonts w:ascii="Bookman Old Style" w:hAnsi="Bookman Old Style"/>
          <w:sz w:val="27"/>
          <w:szCs w:val="27"/>
          <w:lang w:val="es-CO"/>
        </w:rPr>
        <w:t xml:space="preserve"> por cuenta del juicio que se le sigue bajo este </w:t>
      </w:r>
      <w:r w:rsidR="009C301F" w:rsidRPr="00FA3473">
        <w:rPr>
          <w:rFonts w:ascii="Bookman Old Style" w:hAnsi="Bookman Old Style"/>
          <w:sz w:val="27"/>
          <w:szCs w:val="27"/>
          <w:lang w:val="es-CO"/>
        </w:rPr>
        <w:t>proceso</w:t>
      </w:r>
      <w:r w:rsidRPr="00FA3473">
        <w:rPr>
          <w:rFonts w:ascii="Bookman Old Style" w:hAnsi="Bookman Old Style"/>
          <w:sz w:val="27"/>
          <w:szCs w:val="27"/>
          <w:lang w:val="es-CO"/>
        </w:rPr>
        <w:t xml:space="preserve"> </w:t>
      </w:r>
      <w:r w:rsidR="009C301F" w:rsidRPr="00FA3473">
        <w:rPr>
          <w:rFonts w:ascii="Bookman Old Style" w:hAnsi="Bookman Old Style"/>
          <w:sz w:val="27"/>
          <w:szCs w:val="27"/>
          <w:lang w:val="es-CO"/>
        </w:rPr>
        <w:t xml:space="preserve">(rad. Nº </w:t>
      </w:r>
      <w:r w:rsidRPr="00FA3473">
        <w:rPr>
          <w:rFonts w:ascii="Bookman Old Style" w:hAnsi="Bookman Old Style"/>
          <w:sz w:val="27"/>
          <w:szCs w:val="27"/>
          <w:lang w:val="es-CO"/>
        </w:rPr>
        <w:t>49.734</w:t>
      </w:r>
      <w:r w:rsidR="009C301F" w:rsidRPr="00FA3473">
        <w:rPr>
          <w:rFonts w:ascii="Bookman Old Style" w:hAnsi="Bookman Old Style"/>
          <w:sz w:val="27"/>
          <w:szCs w:val="27"/>
          <w:lang w:val="es-CO"/>
        </w:rPr>
        <w:t>)</w:t>
      </w:r>
      <w:r w:rsidRPr="00FA3473">
        <w:rPr>
          <w:rFonts w:ascii="Bookman Old Style" w:hAnsi="Bookman Old Style"/>
          <w:sz w:val="27"/>
          <w:szCs w:val="27"/>
          <w:lang w:val="es-CO"/>
        </w:rPr>
        <w:t xml:space="preserve">, por los delitos de </w:t>
      </w:r>
      <w:r w:rsidRPr="00FA3473">
        <w:rPr>
          <w:rFonts w:ascii="Bookman Old Style" w:hAnsi="Bookman Old Style"/>
          <w:sz w:val="27"/>
          <w:szCs w:val="27"/>
        </w:rPr>
        <w:t>homicidio agravado y concierto para delinquir agravado</w:t>
      </w:r>
      <w:r w:rsidR="009C301F" w:rsidRPr="00FA3473">
        <w:rPr>
          <w:rFonts w:ascii="Bookman Old Style" w:hAnsi="Bookman Old Style"/>
          <w:sz w:val="27"/>
          <w:szCs w:val="27"/>
        </w:rPr>
        <w:t>.</w:t>
      </w:r>
      <w:r w:rsidRPr="00FA3473">
        <w:rPr>
          <w:rStyle w:val="Refdenotaalpie"/>
          <w:rFonts w:ascii="Bookman Old Style" w:hAnsi="Bookman Old Style"/>
          <w:sz w:val="27"/>
          <w:szCs w:val="27"/>
          <w:lang w:val="es-CO"/>
        </w:rPr>
        <w:footnoteReference w:id="11"/>
      </w:r>
    </w:p>
    <w:p w:rsidR="005A6C0C" w:rsidRPr="00FA3473" w:rsidRDefault="005A6C0C" w:rsidP="00727F29">
      <w:pPr>
        <w:spacing w:line="336" w:lineRule="auto"/>
        <w:rPr>
          <w:rFonts w:ascii="Bookman Old Style" w:hAnsi="Bookman Old Style"/>
          <w:b/>
          <w:sz w:val="27"/>
          <w:szCs w:val="27"/>
          <w:lang w:val="es-MX"/>
        </w:rPr>
      </w:pPr>
    </w:p>
    <w:p w:rsidR="006A3DD4" w:rsidRPr="00FA3473" w:rsidRDefault="00D408A8" w:rsidP="00727F29">
      <w:pPr>
        <w:spacing w:line="336" w:lineRule="auto"/>
        <w:jc w:val="center"/>
        <w:rPr>
          <w:rFonts w:ascii="Bookman Old Style" w:hAnsi="Bookman Old Style"/>
          <w:sz w:val="27"/>
          <w:szCs w:val="27"/>
          <w:lang w:val="es-MX"/>
        </w:rPr>
      </w:pPr>
      <w:r w:rsidRPr="00FA3473">
        <w:rPr>
          <w:rFonts w:ascii="Bookman Old Style" w:hAnsi="Bookman Old Style"/>
          <w:b/>
          <w:sz w:val="27"/>
          <w:szCs w:val="27"/>
          <w:lang w:val="es-MX"/>
        </w:rPr>
        <w:t xml:space="preserve">II. </w:t>
      </w:r>
      <w:r w:rsidR="006A3DD4" w:rsidRPr="00FA3473">
        <w:rPr>
          <w:rFonts w:ascii="Bookman Old Style" w:hAnsi="Bookman Old Style"/>
          <w:b/>
          <w:sz w:val="27"/>
          <w:szCs w:val="27"/>
          <w:lang w:val="es-MX"/>
        </w:rPr>
        <w:t>FUNDAMENTOS DE LA PETICIÓN</w:t>
      </w:r>
    </w:p>
    <w:p w:rsidR="006A3DD4" w:rsidRPr="00FA3473" w:rsidRDefault="006A3DD4" w:rsidP="00727F29">
      <w:pPr>
        <w:spacing w:line="336" w:lineRule="auto"/>
        <w:jc w:val="both"/>
        <w:rPr>
          <w:rFonts w:ascii="Bookman Old Style" w:hAnsi="Bookman Old Style"/>
          <w:sz w:val="27"/>
          <w:szCs w:val="27"/>
          <w:lang w:val="es-MX"/>
        </w:rPr>
      </w:pPr>
    </w:p>
    <w:p w:rsidR="006A3DD4" w:rsidRPr="00FA3473" w:rsidRDefault="006A3DD4" w:rsidP="00727F29">
      <w:pPr>
        <w:spacing w:line="336" w:lineRule="auto"/>
        <w:ind w:firstLine="708"/>
        <w:jc w:val="both"/>
        <w:rPr>
          <w:rFonts w:ascii="Bookman Old Style" w:hAnsi="Bookman Old Style"/>
          <w:sz w:val="27"/>
          <w:szCs w:val="27"/>
          <w:lang w:val="es-MX"/>
        </w:rPr>
      </w:pPr>
      <w:r w:rsidRPr="00FA3473">
        <w:rPr>
          <w:rFonts w:ascii="Bookman Old Style" w:hAnsi="Bookman Old Style"/>
          <w:sz w:val="27"/>
          <w:szCs w:val="27"/>
          <w:lang w:val="es-MX"/>
        </w:rPr>
        <w:t>Invocando la aplicación favorable de las modificaciones introducidas al régimen de las medidas privativas de la libertad contempladas en la Le</w:t>
      </w:r>
      <w:r w:rsidR="005A6C0C" w:rsidRPr="00FA3473">
        <w:rPr>
          <w:rFonts w:ascii="Bookman Old Style" w:hAnsi="Bookman Old Style"/>
          <w:sz w:val="27"/>
          <w:szCs w:val="27"/>
          <w:lang w:val="es-MX"/>
        </w:rPr>
        <w:t>y 906 de 2004, a través de las L</w:t>
      </w:r>
      <w:r w:rsidRPr="00FA3473">
        <w:rPr>
          <w:rFonts w:ascii="Bookman Old Style" w:hAnsi="Bookman Old Style"/>
          <w:sz w:val="27"/>
          <w:szCs w:val="27"/>
          <w:lang w:val="es-MX"/>
        </w:rPr>
        <w:t>eyes 1760 de 2015 y 1786 de 2016, el defensor solicita</w:t>
      </w:r>
      <w:r w:rsidR="005A6C0C" w:rsidRPr="00FA3473">
        <w:rPr>
          <w:rFonts w:ascii="Bookman Old Style" w:hAnsi="Bookman Old Style"/>
          <w:sz w:val="27"/>
          <w:szCs w:val="27"/>
          <w:lang w:val="es-MX"/>
        </w:rPr>
        <w:t xml:space="preserve"> que</w:t>
      </w:r>
      <w:r w:rsidRPr="00FA3473">
        <w:rPr>
          <w:rFonts w:ascii="Bookman Old Style" w:hAnsi="Bookman Old Style"/>
          <w:sz w:val="27"/>
          <w:szCs w:val="27"/>
          <w:lang w:val="es-MX"/>
        </w:rPr>
        <w:t xml:space="preserve"> se conceda “</w:t>
      </w:r>
      <w:r w:rsidRPr="00FA3473">
        <w:rPr>
          <w:rFonts w:ascii="Bookman Old Style" w:hAnsi="Bookman Old Style"/>
          <w:i/>
          <w:sz w:val="27"/>
          <w:szCs w:val="27"/>
          <w:lang w:val="es-MX"/>
        </w:rPr>
        <w:t>la libertad provisional</w:t>
      </w:r>
      <w:r w:rsidRPr="00FA3473">
        <w:rPr>
          <w:rFonts w:ascii="Bookman Old Style" w:hAnsi="Bookman Old Style"/>
          <w:sz w:val="27"/>
          <w:szCs w:val="27"/>
          <w:lang w:val="es-MX"/>
        </w:rPr>
        <w:t xml:space="preserve">” a su defendido, dado el tiempo que ha estado privado de la libertad por cuenta de esta actuación. </w:t>
      </w:r>
    </w:p>
    <w:p w:rsidR="006A3DD4" w:rsidRPr="00FA3473" w:rsidRDefault="006A3DD4" w:rsidP="00727F29">
      <w:pPr>
        <w:spacing w:line="336" w:lineRule="auto"/>
        <w:jc w:val="both"/>
        <w:rPr>
          <w:rFonts w:ascii="Bookman Old Style" w:hAnsi="Bookman Old Style"/>
          <w:sz w:val="27"/>
          <w:szCs w:val="27"/>
          <w:lang w:val="es-MX"/>
        </w:rPr>
      </w:pPr>
    </w:p>
    <w:p w:rsidR="006A3DD4" w:rsidRPr="00FA3473" w:rsidRDefault="006A3DD4" w:rsidP="00727F29">
      <w:pPr>
        <w:spacing w:line="336" w:lineRule="auto"/>
        <w:jc w:val="both"/>
        <w:rPr>
          <w:rFonts w:ascii="Bookman Old Style" w:hAnsi="Bookman Old Style"/>
          <w:sz w:val="27"/>
          <w:szCs w:val="27"/>
          <w:lang w:val="es-MX"/>
        </w:rPr>
      </w:pPr>
      <w:r w:rsidRPr="00FA3473">
        <w:rPr>
          <w:rFonts w:ascii="Bookman Old Style" w:hAnsi="Bookman Old Style"/>
          <w:sz w:val="27"/>
          <w:szCs w:val="27"/>
          <w:lang w:val="es-MX"/>
        </w:rPr>
        <w:tab/>
        <w:t>Destaca que con la Ley 1760 de 2015, el legislador quiso garantizar la proporcionalidad y razonabilidad de las medidas de aseguramiento, como se advirtió desde el informe de ponencia para primer debate en el Senado de la República, donde se adujo que era necesario imponer mayore</w:t>
      </w:r>
      <w:r w:rsidR="005A6C0C" w:rsidRPr="00FA3473">
        <w:rPr>
          <w:rFonts w:ascii="Bookman Old Style" w:hAnsi="Bookman Old Style"/>
          <w:sz w:val="27"/>
          <w:szCs w:val="27"/>
          <w:lang w:val="es-MX"/>
        </w:rPr>
        <w:t>s barreras para su procedencia e impedir que pueda</w:t>
      </w:r>
      <w:r w:rsidRPr="00FA3473">
        <w:rPr>
          <w:rFonts w:ascii="Bookman Old Style" w:hAnsi="Bookman Old Style"/>
          <w:sz w:val="27"/>
          <w:szCs w:val="27"/>
          <w:lang w:val="es-MX"/>
        </w:rPr>
        <w:t xml:space="preserve"> extenderse indefinidamente en el tiempo, siendo esa la razón de la </w:t>
      </w:r>
      <w:r w:rsidRPr="00FA3473">
        <w:rPr>
          <w:rFonts w:ascii="Bookman Old Style" w:hAnsi="Bookman Old Style"/>
          <w:sz w:val="27"/>
          <w:szCs w:val="27"/>
          <w:lang w:val="es-MX"/>
        </w:rPr>
        <w:lastRenderedPageBreak/>
        <w:t>adición introducida a través del parágrafo al artículo 307 de la Ley 906 de 2004.</w:t>
      </w:r>
    </w:p>
    <w:p w:rsidR="006A3DD4" w:rsidRPr="00FA3473" w:rsidRDefault="006A3DD4" w:rsidP="00727F29">
      <w:pPr>
        <w:spacing w:line="336" w:lineRule="auto"/>
        <w:jc w:val="both"/>
        <w:rPr>
          <w:rFonts w:ascii="Bookman Old Style" w:hAnsi="Bookman Old Style"/>
          <w:sz w:val="27"/>
          <w:szCs w:val="27"/>
          <w:lang w:val="es-MX"/>
        </w:rPr>
      </w:pPr>
    </w:p>
    <w:p w:rsidR="006A3DD4" w:rsidRPr="00FA3473" w:rsidRDefault="006A3DD4" w:rsidP="00727F29">
      <w:pPr>
        <w:spacing w:line="336" w:lineRule="auto"/>
        <w:jc w:val="both"/>
        <w:rPr>
          <w:rFonts w:ascii="Bookman Old Style" w:hAnsi="Bookman Old Style"/>
          <w:sz w:val="27"/>
          <w:szCs w:val="27"/>
          <w:lang w:val="es-MX"/>
        </w:rPr>
      </w:pPr>
      <w:r w:rsidRPr="00FA3473">
        <w:rPr>
          <w:rFonts w:ascii="Bookman Old Style" w:hAnsi="Bookman Old Style"/>
          <w:sz w:val="27"/>
          <w:szCs w:val="27"/>
          <w:lang w:val="es-MX"/>
        </w:rPr>
        <w:tab/>
      </w:r>
      <w:r w:rsidR="005A6C0C" w:rsidRPr="00FA3473">
        <w:rPr>
          <w:rFonts w:ascii="Bookman Old Style" w:hAnsi="Bookman Old Style"/>
          <w:sz w:val="27"/>
          <w:szCs w:val="27"/>
          <w:lang w:val="es-MX"/>
        </w:rPr>
        <w:t>En su criterio,</w:t>
      </w:r>
      <w:r w:rsidRPr="00FA3473">
        <w:rPr>
          <w:rFonts w:ascii="Bookman Old Style" w:hAnsi="Bookman Old Style"/>
          <w:sz w:val="27"/>
          <w:szCs w:val="27"/>
          <w:lang w:val="es-MX"/>
        </w:rPr>
        <w:t xml:space="preserve"> la vocación de la norma es clara, en el sentido que busca edificar un límite temporal para la duración de la detención preventiva, toda vez que la restricción del derecho de la libertad no puede ser indefinida, máxime cuando no se ha vencido en juicio al procesado.</w:t>
      </w:r>
    </w:p>
    <w:p w:rsidR="006A3DD4" w:rsidRPr="00FA3473" w:rsidRDefault="006A3DD4" w:rsidP="00727F29">
      <w:pPr>
        <w:spacing w:line="336" w:lineRule="auto"/>
        <w:jc w:val="both"/>
        <w:rPr>
          <w:rFonts w:ascii="Bookman Old Style" w:hAnsi="Bookman Old Style"/>
          <w:sz w:val="27"/>
          <w:szCs w:val="27"/>
          <w:lang w:val="es-MX"/>
        </w:rPr>
      </w:pPr>
    </w:p>
    <w:p w:rsidR="006A3DD4" w:rsidRPr="00FA3473" w:rsidRDefault="00230C9C" w:rsidP="00727F29">
      <w:pPr>
        <w:spacing w:line="336" w:lineRule="auto"/>
        <w:jc w:val="both"/>
        <w:rPr>
          <w:rFonts w:ascii="Bookman Old Style" w:hAnsi="Bookman Old Style"/>
          <w:sz w:val="27"/>
          <w:szCs w:val="27"/>
          <w:lang w:val="es-MX"/>
        </w:rPr>
      </w:pPr>
      <w:r w:rsidRPr="00FA3473">
        <w:rPr>
          <w:rFonts w:ascii="Bookman Old Style" w:hAnsi="Bookman Old Style"/>
          <w:sz w:val="27"/>
          <w:szCs w:val="27"/>
          <w:lang w:val="es-MX"/>
        </w:rPr>
        <w:tab/>
        <w:t xml:space="preserve"> Igualmente</w:t>
      </w:r>
      <w:r w:rsidR="006A3DD4" w:rsidRPr="00FA3473">
        <w:rPr>
          <w:rFonts w:ascii="Bookman Old Style" w:hAnsi="Bookman Old Style"/>
          <w:sz w:val="27"/>
          <w:szCs w:val="27"/>
          <w:lang w:val="es-MX"/>
        </w:rPr>
        <w:t xml:space="preserve"> alude al principio de favorabilidad, citando que en las sentencias </w:t>
      </w:r>
      <w:r w:rsidRPr="00FA3473">
        <w:rPr>
          <w:rFonts w:ascii="Bookman Old Style" w:hAnsi="Bookman Old Style"/>
          <w:sz w:val="27"/>
          <w:szCs w:val="27"/>
          <w:lang w:val="es-MX"/>
        </w:rPr>
        <w:t>C-592 de 2005 y C-371 de 2011</w:t>
      </w:r>
      <w:r w:rsidR="006A3DD4" w:rsidRPr="00FA3473">
        <w:rPr>
          <w:rFonts w:ascii="Bookman Old Style" w:hAnsi="Bookman Old Style"/>
          <w:sz w:val="27"/>
          <w:szCs w:val="27"/>
          <w:lang w:val="es-MX"/>
        </w:rPr>
        <w:t xml:space="preserve"> se le ha considerado como un elemento fundamental del debido proceso, de reconocimiento imperativo, para la aplicación </w:t>
      </w:r>
      <w:r w:rsidRPr="00FA3473">
        <w:rPr>
          <w:rFonts w:ascii="Bookman Old Style" w:hAnsi="Bookman Old Style"/>
          <w:sz w:val="27"/>
          <w:szCs w:val="27"/>
          <w:lang w:val="es-MX"/>
        </w:rPr>
        <w:t>ultra activa</w:t>
      </w:r>
      <w:r w:rsidR="006A3DD4" w:rsidRPr="00FA3473">
        <w:rPr>
          <w:rFonts w:ascii="Bookman Old Style" w:hAnsi="Bookman Old Style"/>
          <w:sz w:val="27"/>
          <w:szCs w:val="27"/>
          <w:lang w:val="es-MX"/>
        </w:rPr>
        <w:t xml:space="preserve"> o retroactiva de normas sustanciales o procesales, correspondiendo al juez de conocimiento, en cada caso particular y concreto, determinar cuál es la norma que más beneficia o favorece al procesado.  </w:t>
      </w:r>
    </w:p>
    <w:p w:rsidR="006A3DD4" w:rsidRPr="00FA3473" w:rsidRDefault="006A3DD4" w:rsidP="00727F29">
      <w:pPr>
        <w:spacing w:line="336" w:lineRule="auto"/>
        <w:jc w:val="both"/>
        <w:rPr>
          <w:rFonts w:ascii="Bookman Old Style" w:hAnsi="Bookman Old Style"/>
          <w:sz w:val="27"/>
          <w:szCs w:val="27"/>
          <w:lang w:val="es-MX"/>
        </w:rPr>
      </w:pPr>
    </w:p>
    <w:p w:rsidR="006A3DD4" w:rsidRPr="00FA3473" w:rsidRDefault="006A3DD4" w:rsidP="00727F29">
      <w:pPr>
        <w:spacing w:line="336" w:lineRule="auto"/>
        <w:jc w:val="both"/>
        <w:rPr>
          <w:rFonts w:ascii="Bookman Old Style" w:hAnsi="Bookman Old Style"/>
          <w:sz w:val="27"/>
          <w:szCs w:val="27"/>
          <w:lang w:val="es-MX"/>
        </w:rPr>
      </w:pPr>
      <w:r w:rsidRPr="00FA3473">
        <w:rPr>
          <w:rFonts w:ascii="Bookman Old Style" w:hAnsi="Bookman Old Style"/>
          <w:sz w:val="27"/>
          <w:szCs w:val="27"/>
          <w:lang w:val="es-MX"/>
        </w:rPr>
        <w:tab/>
        <w:t>Trae a colación la sentencia C-300 de 1994, en la cual se reconoció que el principio</w:t>
      </w:r>
      <w:r w:rsidR="00CC63BA">
        <w:rPr>
          <w:rFonts w:ascii="Bookman Old Style" w:hAnsi="Bookman Old Style"/>
          <w:sz w:val="27"/>
          <w:szCs w:val="27"/>
          <w:lang w:val="es-MX"/>
        </w:rPr>
        <w:t xml:space="preserve"> de afirmación de la libertad</w:t>
      </w:r>
      <w:r w:rsidRPr="00FA3473">
        <w:rPr>
          <w:rFonts w:ascii="Bookman Old Style" w:hAnsi="Bookman Old Style"/>
          <w:i/>
          <w:sz w:val="27"/>
          <w:szCs w:val="27"/>
          <w:lang w:val="es-MX"/>
        </w:rPr>
        <w:t xml:space="preserve">, </w:t>
      </w:r>
      <w:r w:rsidRPr="00FA3473">
        <w:rPr>
          <w:rFonts w:ascii="Bookman Old Style" w:hAnsi="Bookman Old Style"/>
          <w:sz w:val="27"/>
          <w:szCs w:val="27"/>
          <w:lang w:val="es-MX"/>
        </w:rPr>
        <w:t>en materia penal, obliga a optar por la alternativa normativa más favorable a la libertad del imputado.</w:t>
      </w:r>
    </w:p>
    <w:p w:rsidR="006A3DD4" w:rsidRPr="00FA3473" w:rsidRDefault="006A3DD4" w:rsidP="00727F29">
      <w:pPr>
        <w:spacing w:line="336" w:lineRule="auto"/>
        <w:jc w:val="both"/>
        <w:rPr>
          <w:rFonts w:ascii="Bookman Old Style" w:hAnsi="Bookman Old Style"/>
          <w:sz w:val="27"/>
          <w:szCs w:val="27"/>
          <w:lang w:val="es-MX"/>
        </w:rPr>
      </w:pPr>
    </w:p>
    <w:p w:rsidR="006A3DD4" w:rsidRPr="00FA3473" w:rsidRDefault="006A3DD4" w:rsidP="00727F29">
      <w:pPr>
        <w:spacing w:line="336" w:lineRule="auto"/>
        <w:ind w:firstLine="708"/>
        <w:jc w:val="both"/>
        <w:rPr>
          <w:rFonts w:ascii="Bookman Old Style" w:hAnsi="Bookman Old Style"/>
          <w:i/>
          <w:sz w:val="27"/>
          <w:szCs w:val="27"/>
          <w:lang w:val="es-MX"/>
        </w:rPr>
      </w:pPr>
      <w:r w:rsidRPr="00FA3473">
        <w:rPr>
          <w:rFonts w:ascii="Bookman Old Style" w:hAnsi="Bookman Old Style"/>
          <w:sz w:val="27"/>
          <w:szCs w:val="27"/>
          <w:lang w:val="es-MX"/>
        </w:rPr>
        <w:t xml:space="preserve">Sobre esa base, pide a la Sala realizar un juicio entre las normas en conflicto, esto es, entre las disposiciones que rigen el régimen de la libertad en la Ley 600 de 2000 y las que gobiernan el rito procesal de la Ley 906 de 2004, señalando que ya en pretéritas ocasiones la Corte expuso que no se podía eludir la aplicación del principio de favorabilidad, entre </w:t>
      </w:r>
      <w:r w:rsidRPr="00FA3473">
        <w:rPr>
          <w:rFonts w:ascii="Bookman Old Style" w:hAnsi="Bookman Old Style"/>
          <w:sz w:val="27"/>
          <w:szCs w:val="27"/>
          <w:lang w:val="es-MX"/>
        </w:rPr>
        <w:lastRenderedPageBreak/>
        <w:t xml:space="preserve">otras, </w:t>
      </w:r>
      <w:r w:rsidRPr="00FA3473">
        <w:rPr>
          <w:rFonts w:ascii="Bookman Old Style" w:hAnsi="Bookman Old Style"/>
          <w:i/>
          <w:sz w:val="27"/>
          <w:szCs w:val="27"/>
          <w:lang w:val="es-MX"/>
        </w:rPr>
        <w:t>“…a situaciones en las cuales la Ley 906 de 2004 no contempla privación de la libertad en cierto caso mientras que la Ley 600 sí, o en eventualidades en las que la primera consagra bajo determinadas condiciones la libertad provisional y en presencia de las mismas la segunda la niega”</w:t>
      </w:r>
      <w:r w:rsidRPr="00FA3473">
        <w:rPr>
          <w:rStyle w:val="Refdenotaalpie"/>
          <w:rFonts w:ascii="Bookman Old Style" w:hAnsi="Bookman Old Style"/>
          <w:sz w:val="27"/>
          <w:szCs w:val="27"/>
          <w:lang w:val="es-MX"/>
        </w:rPr>
        <w:footnoteReference w:id="12"/>
      </w:r>
      <w:r w:rsidRPr="00FA3473">
        <w:rPr>
          <w:rFonts w:ascii="Bookman Old Style" w:hAnsi="Bookman Old Style"/>
          <w:i/>
          <w:sz w:val="27"/>
          <w:szCs w:val="27"/>
          <w:lang w:val="es-MX"/>
        </w:rPr>
        <w:t>.</w:t>
      </w:r>
    </w:p>
    <w:p w:rsidR="006A3DD4" w:rsidRPr="00FA3473" w:rsidRDefault="006A3DD4" w:rsidP="00727F29">
      <w:pPr>
        <w:spacing w:line="336" w:lineRule="auto"/>
        <w:jc w:val="both"/>
        <w:rPr>
          <w:rFonts w:ascii="Bookman Old Style" w:hAnsi="Bookman Old Style"/>
          <w:i/>
          <w:sz w:val="27"/>
          <w:szCs w:val="27"/>
          <w:lang w:val="es-MX"/>
        </w:rPr>
      </w:pPr>
    </w:p>
    <w:p w:rsidR="006A3DD4" w:rsidRPr="00FA3473" w:rsidRDefault="006A3DD4" w:rsidP="00727F29">
      <w:pPr>
        <w:spacing w:line="336" w:lineRule="auto"/>
        <w:jc w:val="both"/>
        <w:rPr>
          <w:rFonts w:ascii="Bookman Old Style" w:hAnsi="Bookman Old Style"/>
          <w:sz w:val="27"/>
          <w:szCs w:val="27"/>
          <w:lang w:val="es-MX"/>
        </w:rPr>
      </w:pPr>
      <w:r w:rsidRPr="00FA3473">
        <w:rPr>
          <w:rFonts w:ascii="Bookman Old Style" w:hAnsi="Bookman Old Style"/>
          <w:i/>
          <w:sz w:val="27"/>
          <w:szCs w:val="27"/>
          <w:lang w:val="es-MX"/>
        </w:rPr>
        <w:tab/>
      </w:r>
      <w:r w:rsidRPr="00FA3473">
        <w:rPr>
          <w:rFonts w:ascii="Bookman Old Style" w:hAnsi="Bookman Old Style"/>
          <w:sz w:val="27"/>
          <w:szCs w:val="27"/>
          <w:lang w:val="es-MX"/>
        </w:rPr>
        <w:t>Su prohijado, agrega, fue capturado el 14 de marzo de 2011, es decir, hace 6 años, 3 meses y 7 días, lapso en el cual ha estado privado de la libertad por cuenta del presente proceso.</w:t>
      </w:r>
    </w:p>
    <w:p w:rsidR="006A3DD4" w:rsidRPr="00FA3473" w:rsidRDefault="006A3DD4" w:rsidP="00727F29">
      <w:pPr>
        <w:spacing w:line="336" w:lineRule="auto"/>
        <w:jc w:val="both"/>
        <w:rPr>
          <w:rFonts w:ascii="Bookman Old Style" w:hAnsi="Bookman Old Style"/>
          <w:sz w:val="27"/>
          <w:szCs w:val="27"/>
          <w:lang w:val="es-MX"/>
        </w:rPr>
      </w:pPr>
    </w:p>
    <w:p w:rsidR="006A3DD4" w:rsidRPr="00FA3473" w:rsidRDefault="0085777F" w:rsidP="00727F29">
      <w:pPr>
        <w:spacing w:line="336" w:lineRule="auto"/>
        <w:ind w:firstLine="708"/>
        <w:jc w:val="both"/>
        <w:rPr>
          <w:rFonts w:ascii="Bookman Old Style" w:hAnsi="Bookman Old Style"/>
          <w:sz w:val="27"/>
          <w:szCs w:val="27"/>
          <w:lang w:val="es-MX"/>
        </w:rPr>
      </w:pPr>
      <w:r w:rsidRPr="00FA3473">
        <w:rPr>
          <w:rFonts w:ascii="Bookman Old Style" w:hAnsi="Bookman Old Style"/>
          <w:sz w:val="27"/>
          <w:szCs w:val="27"/>
          <w:lang w:val="es-MX"/>
        </w:rPr>
        <w:t>A pesar del transcurso de ese tiempo</w:t>
      </w:r>
      <w:r w:rsidR="006A3DD4" w:rsidRPr="00FA3473">
        <w:rPr>
          <w:rFonts w:ascii="Bookman Old Style" w:hAnsi="Bookman Old Style"/>
          <w:sz w:val="27"/>
          <w:szCs w:val="27"/>
          <w:lang w:val="es-MX"/>
        </w:rPr>
        <w:t xml:space="preserve">, </w:t>
      </w:r>
      <w:r w:rsidRPr="00FA3473">
        <w:rPr>
          <w:rFonts w:ascii="Bookman Old Style" w:hAnsi="Bookman Old Style"/>
          <w:sz w:val="27"/>
          <w:szCs w:val="27"/>
          <w:lang w:val="es-MX"/>
        </w:rPr>
        <w:t>continúa, aún</w:t>
      </w:r>
      <w:r w:rsidR="006A3DD4" w:rsidRPr="00FA3473">
        <w:rPr>
          <w:rFonts w:ascii="Bookman Old Style" w:hAnsi="Bookman Old Style"/>
          <w:sz w:val="27"/>
          <w:szCs w:val="27"/>
          <w:lang w:val="es-MX"/>
        </w:rPr>
        <w:t xml:space="preserve"> no se ha proferido sentencia, pues esta Sala decretó la nulidad de todo lo actuado por incompetencia de los funcionarios que conocieron del proceso, </w:t>
      </w:r>
      <w:r w:rsidRPr="00FA3473">
        <w:rPr>
          <w:rFonts w:ascii="Bookman Old Style" w:hAnsi="Bookman Old Style"/>
          <w:sz w:val="27"/>
          <w:szCs w:val="27"/>
          <w:lang w:val="es-MX"/>
        </w:rPr>
        <w:t>y posteriormente se determinó</w:t>
      </w:r>
      <w:r w:rsidR="006A3DD4" w:rsidRPr="00FA3473">
        <w:rPr>
          <w:rFonts w:ascii="Bookman Old Style" w:hAnsi="Bookman Old Style"/>
          <w:sz w:val="27"/>
          <w:szCs w:val="27"/>
          <w:lang w:val="es-MX"/>
        </w:rPr>
        <w:t xml:space="preserve"> que la calificación del sumario correspondía a la Unidad de Fiscalías Delegadas ante la Corte Suprema de Justicia y el juicio a esta Corporación.</w:t>
      </w:r>
    </w:p>
    <w:p w:rsidR="006A3DD4" w:rsidRPr="00FA3473" w:rsidRDefault="006A3DD4" w:rsidP="00727F29">
      <w:pPr>
        <w:spacing w:line="336" w:lineRule="auto"/>
        <w:ind w:firstLine="708"/>
        <w:jc w:val="both"/>
        <w:rPr>
          <w:rFonts w:ascii="Bookman Old Style" w:hAnsi="Bookman Old Style"/>
          <w:sz w:val="27"/>
          <w:szCs w:val="27"/>
          <w:lang w:val="es-MX"/>
        </w:rPr>
      </w:pPr>
    </w:p>
    <w:p w:rsidR="006A3DD4" w:rsidRPr="00FA3473" w:rsidRDefault="006A3DD4" w:rsidP="00727F29">
      <w:pPr>
        <w:spacing w:line="336" w:lineRule="auto"/>
        <w:ind w:firstLine="708"/>
        <w:jc w:val="both"/>
        <w:rPr>
          <w:rFonts w:ascii="Bookman Old Style" w:hAnsi="Bookman Old Style"/>
          <w:sz w:val="27"/>
          <w:szCs w:val="27"/>
          <w:lang w:val="es-MX"/>
        </w:rPr>
      </w:pPr>
      <w:r w:rsidRPr="00FA3473">
        <w:rPr>
          <w:rFonts w:ascii="Bookman Old Style" w:hAnsi="Bookman Old Style"/>
          <w:sz w:val="27"/>
          <w:szCs w:val="27"/>
          <w:lang w:val="es-MX"/>
        </w:rPr>
        <w:t>Así las cosas, considera que al procesado ACOSTA BERNAL se le ha privado de la libertad durante un plazo que escapa de lo razonable, toda vez que la extensión del proceso no puede imp</w:t>
      </w:r>
      <w:r w:rsidR="008F0EB5" w:rsidRPr="00FA3473">
        <w:rPr>
          <w:rFonts w:ascii="Bookman Old Style" w:hAnsi="Bookman Old Style"/>
          <w:sz w:val="27"/>
          <w:szCs w:val="27"/>
          <w:lang w:val="es-MX"/>
        </w:rPr>
        <w:t>utársele a él, pues siempre la d</w:t>
      </w:r>
      <w:r w:rsidRPr="00FA3473">
        <w:rPr>
          <w:rFonts w:ascii="Bookman Old Style" w:hAnsi="Bookman Old Style"/>
          <w:sz w:val="27"/>
          <w:szCs w:val="27"/>
          <w:lang w:val="es-MX"/>
        </w:rPr>
        <w:t xml:space="preserve">efensa advirtió del conflicto existente por razón del fuero constitucional. </w:t>
      </w:r>
    </w:p>
    <w:p w:rsidR="006A3DD4" w:rsidRPr="00FA3473" w:rsidRDefault="006A3DD4" w:rsidP="00727F29">
      <w:pPr>
        <w:spacing w:line="336" w:lineRule="auto"/>
        <w:ind w:firstLine="708"/>
        <w:jc w:val="both"/>
        <w:rPr>
          <w:rFonts w:ascii="Bookman Old Style" w:hAnsi="Bookman Old Style"/>
          <w:sz w:val="27"/>
          <w:szCs w:val="27"/>
          <w:lang w:val="es-MX"/>
        </w:rPr>
      </w:pPr>
    </w:p>
    <w:p w:rsidR="006A3DD4" w:rsidRPr="00D87037" w:rsidRDefault="006A3DD4" w:rsidP="00727F29">
      <w:pPr>
        <w:spacing w:line="336" w:lineRule="auto"/>
        <w:ind w:firstLine="708"/>
        <w:jc w:val="both"/>
        <w:rPr>
          <w:rFonts w:ascii="Bookman Old Style" w:hAnsi="Bookman Old Style"/>
          <w:sz w:val="26"/>
          <w:szCs w:val="26"/>
          <w:lang w:val="es-MX"/>
        </w:rPr>
      </w:pPr>
      <w:r w:rsidRPr="00FA3473">
        <w:rPr>
          <w:rFonts w:ascii="Bookman Old Style" w:hAnsi="Bookman Old Style"/>
          <w:sz w:val="27"/>
          <w:szCs w:val="27"/>
          <w:lang w:val="es-MX"/>
        </w:rPr>
        <w:t xml:space="preserve">Agrega que la privación de la libertad de forma indefinida constituye una afrenta a la presunción de inocencia y, por </w:t>
      </w:r>
      <w:r w:rsidRPr="00FA3473">
        <w:rPr>
          <w:rFonts w:ascii="Bookman Old Style" w:hAnsi="Bookman Old Style"/>
          <w:sz w:val="27"/>
          <w:szCs w:val="27"/>
          <w:lang w:val="es-MX"/>
        </w:rPr>
        <w:lastRenderedPageBreak/>
        <w:t>tanto, al debido proceso, razón por la cual en aras de precaver la vulneración de otros derechos fundamentales,</w:t>
      </w:r>
      <w:r w:rsidR="008F0EB5" w:rsidRPr="00FA3473">
        <w:rPr>
          <w:rFonts w:ascii="Bookman Old Style" w:hAnsi="Bookman Old Style"/>
          <w:sz w:val="27"/>
          <w:szCs w:val="27"/>
          <w:lang w:val="es-MX"/>
        </w:rPr>
        <w:t xml:space="preserve"> </w:t>
      </w:r>
      <w:r w:rsidRPr="00FA3473">
        <w:rPr>
          <w:rFonts w:ascii="Bookman Old Style" w:hAnsi="Bookman Old Style"/>
          <w:sz w:val="27"/>
          <w:szCs w:val="27"/>
          <w:lang w:val="es-MX"/>
        </w:rPr>
        <w:t xml:space="preserve">es </w:t>
      </w:r>
      <w:r w:rsidRPr="00D87037">
        <w:rPr>
          <w:rFonts w:ascii="Bookman Old Style" w:hAnsi="Bookman Old Style"/>
          <w:sz w:val="26"/>
          <w:szCs w:val="26"/>
          <w:lang w:val="es-MX"/>
        </w:rPr>
        <w:t xml:space="preserve">procedente que se revoque la medida de aseguramiento y se ordene la libertad de su prohijado. </w:t>
      </w:r>
    </w:p>
    <w:p w:rsidR="006A3DD4" w:rsidRPr="00D87037" w:rsidRDefault="006A3DD4" w:rsidP="00727F29">
      <w:pPr>
        <w:spacing w:line="336" w:lineRule="auto"/>
        <w:jc w:val="both"/>
        <w:rPr>
          <w:rFonts w:ascii="Bookman Old Style" w:hAnsi="Bookman Old Style"/>
          <w:sz w:val="26"/>
          <w:szCs w:val="26"/>
          <w:lang w:val="es-MX"/>
        </w:rPr>
      </w:pPr>
    </w:p>
    <w:p w:rsidR="006A3DD4" w:rsidRPr="00D87037" w:rsidRDefault="00726B05" w:rsidP="00727F29">
      <w:pPr>
        <w:spacing w:line="336" w:lineRule="auto"/>
        <w:jc w:val="center"/>
        <w:rPr>
          <w:rFonts w:ascii="Bookman Old Style" w:hAnsi="Bookman Old Style"/>
          <w:b/>
          <w:sz w:val="26"/>
          <w:szCs w:val="26"/>
          <w:lang w:val="es-MX"/>
        </w:rPr>
      </w:pPr>
      <w:r w:rsidRPr="00D87037">
        <w:rPr>
          <w:rFonts w:ascii="Bookman Old Style" w:hAnsi="Bookman Old Style"/>
          <w:b/>
          <w:sz w:val="26"/>
          <w:szCs w:val="26"/>
          <w:lang w:val="es-MX"/>
        </w:rPr>
        <w:t xml:space="preserve">III. </w:t>
      </w:r>
      <w:r w:rsidR="006A3DD4" w:rsidRPr="00D87037">
        <w:rPr>
          <w:rFonts w:ascii="Bookman Old Style" w:hAnsi="Bookman Old Style"/>
          <w:b/>
          <w:sz w:val="26"/>
          <w:szCs w:val="26"/>
          <w:lang w:val="es-MX"/>
        </w:rPr>
        <w:t>CONSIDERACIONES</w:t>
      </w:r>
    </w:p>
    <w:p w:rsidR="00152C06" w:rsidRPr="00D87037" w:rsidRDefault="00152C06" w:rsidP="00727F29">
      <w:pPr>
        <w:spacing w:line="336" w:lineRule="auto"/>
        <w:ind w:firstLine="705"/>
        <w:jc w:val="both"/>
        <w:rPr>
          <w:rFonts w:ascii="Bookman Old Style" w:hAnsi="Bookman Old Style"/>
          <w:i/>
          <w:sz w:val="26"/>
          <w:szCs w:val="26"/>
          <w:lang w:val="es-MX"/>
        </w:rPr>
      </w:pPr>
    </w:p>
    <w:p w:rsidR="0028334A" w:rsidRPr="00D87037" w:rsidRDefault="0032447C" w:rsidP="00727F29">
      <w:pPr>
        <w:spacing w:line="336" w:lineRule="auto"/>
        <w:ind w:firstLine="705"/>
        <w:jc w:val="both"/>
        <w:rPr>
          <w:rFonts w:ascii="Bookman Old Style" w:hAnsi="Bookman Old Style"/>
          <w:sz w:val="26"/>
          <w:szCs w:val="26"/>
          <w:lang w:val="es-MX"/>
        </w:rPr>
      </w:pPr>
      <w:r w:rsidRPr="00D87037">
        <w:rPr>
          <w:rFonts w:ascii="Bookman Old Style" w:hAnsi="Bookman Old Style"/>
          <w:sz w:val="26"/>
          <w:szCs w:val="26"/>
          <w:lang w:val="es-MX"/>
        </w:rPr>
        <w:tab/>
      </w:r>
      <w:r w:rsidR="0028334A" w:rsidRPr="00D87037">
        <w:rPr>
          <w:rFonts w:ascii="Bookman Old Style" w:hAnsi="Bookman Old Style"/>
          <w:sz w:val="26"/>
          <w:szCs w:val="26"/>
          <w:lang w:val="es-MX"/>
        </w:rPr>
        <w:t xml:space="preserve">Para dar una adecuada respuesta a la solicitud elevada por el defensor, la Sala aplicará la siguiente metodología: en primer lugar, </w:t>
      </w:r>
      <w:r w:rsidR="00DC45F4" w:rsidRPr="00D87037">
        <w:rPr>
          <w:rFonts w:ascii="Bookman Old Style" w:hAnsi="Bookman Old Style"/>
          <w:sz w:val="26"/>
          <w:szCs w:val="26"/>
          <w:lang w:val="es-MX"/>
        </w:rPr>
        <w:t>analizará la figura de la sustitución de la detención preventiva</w:t>
      </w:r>
      <w:r w:rsidR="00CC1DAA" w:rsidRPr="00D87037">
        <w:rPr>
          <w:rFonts w:ascii="Bookman Old Style" w:hAnsi="Bookman Old Style"/>
          <w:sz w:val="26"/>
          <w:szCs w:val="26"/>
          <w:lang w:val="es-MX"/>
        </w:rPr>
        <w:t>, por vencimiento del plazo máximo de vigencia</w:t>
      </w:r>
      <w:r w:rsidR="00DC45F4" w:rsidRPr="00D87037">
        <w:rPr>
          <w:rFonts w:ascii="Bookman Old Style" w:hAnsi="Bookman Old Style"/>
          <w:sz w:val="26"/>
          <w:szCs w:val="26"/>
          <w:lang w:val="es-MX"/>
        </w:rPr>
        <w:t xml:space="preserve">, implementada a través del art. 1º de la Ley 1786 de 2016, a fin de determinar su naturaleza jurídica y las vicisitudes propias de su aplicación. Fijadas tales premisas, en segundo término, determinará </w:t>
      </w:r>
      <w:r w:rsidR="0028334A" w:rsidRPr="00D87037">
        <w:rPr>
          <w:rFonts w:ascii="Bookman Old Style" w:hAnsi="Bookman Old Style"/>
          <w:sz w:val="26"/>
          <w:szCs w:val="26"/>
          <w:lang w:val="es-MX"/>
        </w:rPr>
        <w:t xml:space="preserve">cuáles son los requisitos pertinentes para aplicar, en virtud del principio de favorabilidad, </w:t>
      </w:r>
      <w:r w:rsidR="00C17CD7" w:rsidRPr="00D87037">
        <w:rPr>
          <w:rFonts w:ascii="Bookman Old Style" w:hAnsi="Bookman Old Style"/>
          <w:sz w:val="26"/>
          <w:szCs w:val="26"/>
          <w:lang w:val="es-MX"/>
        </w:rPr>
        <w:t xml:space="preserve">normas </w:t>
      </w:r>
      <w:r w:rsidR="00DA36AE" w:rsidRPr="00D87037">
        <w:rPr>
          <w:rFonts w:ascii="Bookman Old Style" w:hAnsi="Bookman Old Style"/>
          <w:sz w:val="26"/>
          <w:szCs w:val="26"/>
          <w:lang w:val="es-MX"/>
        </w:rPr>
        <w:t xml:space="preserve">de </w:t>
      </w:r>
      <w:r w:rsidR="00C17CD7" w:rsidRPr="00D87037">
        <w:rPr>
          <w:rFonts w:ascii="Bookman Old Style" w:hAnsi="Bookman Old Style"/>
          <w:sz w:val="26"/>
          <w:szCs w:val="26"/>
          <w:lang w:val="es-MX"/>
        </w:rPr>
        <w:t xml:space="preserve">la </w:t>
      </w:r>
      <w:r w:rsidR="0028334A" w:rsidRPr="00D87037">
        <w:rPr>
          <w:rFonts w:ascii="Bookman Old Style" w:hAnsi="Bookman Old Style"/>
          <w:sz w:val="26"/>
          <w:szCs w:val="26"/>
          <w:lang w:val="es-MX"/>
        </w:rPr>
        <w:t>Ley 906 de 2004 a trámites</w:t>
      </w:r>
      <w:r w:rsidR="00C17CD7" w:rsidRPr="00D87037">
        <w:rPr>
          <w:rFonts w:ascii="Bookman Old Style" w:hAnsi="Bookman Old Style"/>
          <w:sz w:val="26"/>
          <w:szCs w:val="26"/>
          <w:lang w:val="es-MX"/>
        </w:rPr>
        <w:t xml:space="preserve"> regidos por la Ley 600 de 2000. </w:t>
      </w:r>
      <w:r w:rsidR="00DC45F4" w:rsidRPr="00D87037">
        <w:rPr>
          <w:rFonts w:ascii="Bookman Old Style" w:hAnsi="Bookman Old Style"/>
          <w:sz w:val="26"/>
          <w:szCs w:val="26"/>
          <w:lang w:val="es-MX"/>
        </w:rPr>
        <w:t>F</w:t>
      </w:r>
      <w:r w:rsidR="0028334A" w:rsidRPr="00D87037">
        <w:rPr>
          <w:rFonts w:ascii="Bookman Old Style" w:hAnsi="Bookman Old Style"/>
          <w:sz w:val="26"/>
          <w:szCs w:val="26"/>
          <w:lang w:val="es-MX"/>
        </w:rPr>
        <w:t xml:space="preserve">inalmente, </w:t>
      </w:r>
      <w:r w:rsidR="00DC45F4" w:rsidRPr="00D87037">
        <w:rPr>
          <w:rFonts w:ascii="Bookman Old Style" w:hAnsi="Bookman Old Style"/>
          <w:sz w:val="26"/>
          <w:szCs w:val="26"/>
          <w:lang w:val="es-MX"/>
        </w:rPr>
        <w:t>establecerá</w:t>
      </w:r>
      <w:r w:rsidR="0028334A" w:rsidRPr="00D87037">
        <w:rPr>
          <w:rFonts w:ascii="Bookman Old Style" w:hAnsi="Bookman Old Style"/>
          <w:sz w:val="26"/>
          <w:szCs w:val="26"/>
          <w:lang w:val="es-MX"/>
        </w:rPr>
        <w:t xml:space="preserve"> si, en el presente caso, se cumplen los presupuestos legales y jurisprudenciales de rigor para favorecer al acusado con una tal determinación. </w:t>
      </w:r>
    </w:p>
    <w:p w:rsidR="008C63B9" w:rsidRPr="00D87037" w:rsidRDefault="008C63B9" w:rsidP="00727F29">
      <w:pPr>
        <w:spacing w:line="336" w:lineRule="auto"/>
        <w:ind w:firstLine="705"/>
        <w:jc w:val="both"/>
        <w:rPr>
          <w:rFonts w:ascii="Bookman Old Style" w:hAnsi="Bookman Old Style"/>
          <w:b/>
          <w:sz w:val="26"/>
          <w:szCs w:val="26"/>
          <w:lang w:val="es-MX"/>
        </w:rPr>
      </w:pPr>
    </w:p>
    <w:p w:rsidR="008C63B9" w:rsidRPr="00D87037" w:rsidRDefault="00275D49" w:rsidP="00727F29">
      <w:pPr>
        <w:spacing w:line="336" w:lineRule="auto"/>
        <w:ind w:firstLine="705"/>
        <w:jc w:val="both"/>
        <w:rPr>
          <w:rFonts w:ascii="Bookman Old Style" w:hAnsi="Bookman Old Style"/>
          <w:b/>
          <w:sz w:val="26"/>
          <w:szCs w:val="26"/>
          <w:lang w:val="es-MX"/>
        </w:rPr>
      </w:pPr>
      <w:r w:rsidRPr="00D87037">
        <w:rPr>
          <w:rFonts w:ascii="Bookman Old Style" w:hAnsi="Bookman Old Style"/>
          <w:b/>
          <w:sz w:val="26"/>
          <w:szCs w:val="26"/>
          <w:lang w:val="es-MX"/>
        </w:rPr>
        <w:t>3.1</w:t>
      </w:r>
      <w:r w:rsidR="008C63B9" w:rsidRPr="00D87037">
        <w:rPr>
          <w:rFonts w:ascii="Bookman Old Style" w:hAnsi="Bookman Old Style"/>
          <w:b/>
          <w:sz w:val="26"/>
          <w:szCs w:val="26"/>
          <w:lang w:val="es-MX"/>
        </w:rPr>
        <w:t xml:space="preserve"> Sustitución de la medida de aseguramiento por </w:t>
      </w:r>
      <w:r w:rsidR="00CC1DAA" w:rsidRPr="00D87037">
        <w:rPr>
          <w:rFonts w:ascii="Bookman Old Style" w:hAnsi="Bookman Old Style"/>
          <w:b/>
          <w:sz w:val="26"/>
          <w:szCs w:val="26"/>
          <w:lang w:val="es-MX"/>
        </w:rPr>
        <w:t xml:space="preserve">vencimiento </w:t>
      </w:r>
      <w:r w:rsidR="008C63B9" w:rsidRPr="00D87037">
        <w:rPr>
          <w:rFonts w:ascii="Bookman Old Style" w:hAnsi="Bookman Old Style"/>
          <w:b/>
          <w:sz w:val="26"/>
          <w:szCs w:val="26"/>
          <w:lang w:val="es-MX"/>
        </w:rPr>
        <w:t>del plazo máximo de vigencia de la detención preventiva</w:t>
      </w:r>
    </w:p>
    <w:p w:rsidR="0005127F" w:rsidRPr="00D87037" w:rsidRDefault="0005127F" w:rsidP="00727F29">
      <w:pPr>
        <w:spacing w:line="336" w:lineRule="auto"/>
        <w:ind w:firstLine="705"/>
        <w:jc w:val="both"/>
        <w:rPr>
          <w:rFonts w:ascii="Bookman Old Style" w:hAnsi="Bookman Old Style"/>
          <w:b/>
          <w:sz w:val="26"/>
          <w:szCs w:val="26"/>
          <w:lang w:val="es-MX"/>
        </w:rPr>
      </w:pPr>
    </w:p>
    <w:p w:rsidR="00F938DF" w:rsidRPr="00D87037" w:rsidRDefault="00275D49" w:rsidP="00727F29">
      <w:pPr>
        <w:spacing w:line="336" w:lineRule="auto"/>
        <w:ind w:firstLine="705"/>
        <w:jc w:val="both"/>
        <w:rPr>
          <w:rFonts w:ascii="Bookman Old Style" w:hAnsi="Bookman Old Style"/>
          <w:b/>
          <w:sz w:val="26"/>
          <w:szCs w:val="26"/>
          <w:lang w:val="es-MX"/>
        </w:rPr>
      </w:pPr>
      <w:r w:rsidRPr="00D87037">
        <w:rPr>
          <w:rFonts w:ascii="Bookman Old Style" w:hAnsi="Bookman Old Style"/>
          <w:b/>
          <w:sz w:val="26"/>
          <w:szCs w:val="26"/>
          <w:lang w:val="es-MX"/>
        </w:rPr>
        <w:t>3.1</w:t>
      </w:r>
      <w:r w:rsidR="00F938DF" w:rsidRPr="00D87037">
        <w:rPr>
          <w:rFonts w:ascii="Bookman Old Style" w:hAnsi="Bookman Old Style"/>
          <w:b/>
          <w:sz w:val="26"/>
          <w:szCs w:val="26"/>
          <w:lang w:val="es-MX"/>
        </w:rPr>
        <w:t xml:space="preserve">.1 De la garantía fundamental del </w:t>
      </w:r>
      <w:r w:rsidR="00F938DF" w:rsidRPr="00D87037">
        <w:rPr>
          <w:rFonts w:ascii="Bookman Old Style" w:hAnsi="Bookman Old Style"/>
          <w:b/>
          <w:i/>
          <w:sz w:val="26"/>
          <w:szCs w:val="26"/>
          <w:lang w:val="es-MX"/>
        </w:rPr>
        <w:t>detenido</w:t>
      </w:r>
      <w:r w:rsidR="00F938DF" w:rsidRPr="00D87037">
        <w:rPr>
          <w:rFonts w:ascii="Bookman Old Style" w:hAnsi="Bookman Old Style"/>
          <w:b/>
          <w:sz w:val="26"/>
          <w:szCs w:val="26"/>
          <w:lang w:val="es-MX"/>
        </w:rPr>
        <w:t xml:space="preserve"> a ser puesto en libertad si no es investigado y juzgado dentro de un plazo razonable </w:t>
      </w:r>
    </w:p>
    <w:p w:rsidR="00727797" w:rsidRPr="00D87037" w:rsidRDefault="00727797" w:rsidP="00727F29">
      <w:pPr>
        <w:spacing w:line="336" w:lineRule="auto"/>
        <w:jc w:val="both"/>
        <w:rPr>
          <w:rFonts w:ascii="Bookman Old Style" w:hAnsi="Bookman Old Style"/>
          <w:bCs/>
          <w:sz w:val="27"/>
          <w:szCs w:val="27"/>
        </w:rPr>
      </w:pPr>
    </w:p>
    <w:p w:rsidR="00727797" w:rsidRPr="00D87037" w:rsidRDefault="00727797" w:rsidP="00727F29">
      <w:pPr>
        <w:spacing w:line="336" w:lineRule="auto"/>
        <w:jc w:val="both"/>
        <w:rPr>
          <w:rFonts w:ascii="Bookman Old Style" w:hAnsi="Bookman Old Style"/>
          <w:bCs/>
          <w:sz w:val="27"/>
          <w:szCs w:val="27"/>
        </w:rPr>
      </w:pPr>
      <w:r w:rsidRPr="00D87037">
        <w:rPr>
          <w:rFonts w:ascii="Bookman Old Style" w:hAnsi="Bookman Old Style"/>
          <w:bCs/>
          <w:sz w:val="27"/>
          <w:szCs w:val="27"/>
        </w:rPr>
        <w:lastRenderedPageBreak/>
        <w:tab/>
        <w:t xml:space="preserve"> El </w:t>
      </w:r>
      <w:r w:rsidRPr="00D87037">
        <w:rPr>
          <w:rFonts w:ascii="Bookman Old Style" w:hAnsi="Bookman Old Style"/>
          <w:bCs/>
          <w:i/>
          <w:sz w:val="27"/>
          <w:szCs w:val="27"/>
        </w:rPr>
        <w:t>ámbito de protección</w:t>
      </w:r>
      <w:r w:rsidRPr="00D87037">
        <w:rPr>
          <w:rFonts w:ascii="Bookman Old Style" w:hAnsi="Bookman Old Style"/>
          <w:bCs/>
          <w:sz w:val="27"/>
          <w:szCs w:val="27"/>
        </w:rPr>
        <w:t xml:space="preserve"> del derecho al</w:t>
      </w:r>
      <w:r w:rsidR="00AF15B6" w:rsidRPr="00D87037">
        <w:rPr>
          <w:rFonts w:ascii="Bookman Old Style" w:hAnsi="Bookman Old Style"/>
          <w:bCs/>
          <w:sz w:val="27"/>
          <w:szCs w:val="27"/>
        </w:rPr>
        <w:t xml:space="preserve"> debido proceso está compuesto </w:t>
      </w:r>
      <w:r w:rsidRPr="00D87037">
        <w:rPr>
          <w:rFonts w:ascii="Bookman Old Style" w:hAnsi="Bookman Old Style"/>
          <w:bCs/>
          <w:sz w:val="27"/>
          <w:szCs w:val="27"/>
        </w:rPr>
        <w:t xml:space="preserve">tanto por prescripciones constitucionales genéricas como por la </w:t>
      </w:r>
      <w:r w:rsidRPr="00D87037">
        <w:rPr>
          <w:rFonts w:ascii="Bookman Old Style" w:hAnsi="Bookman Old Style"/>
          <w:bCs/>
          <w:i/>
          <w:sz w:val="27"/>
          <w:szCs w:val="27"/>
        </w:rPr>
        <w:t>específica configuración legal</w:t>
      </w:r>
      <w:r w:rsidRPr="00D87037">
        <w:rPr>
          <w:rFonts w:ascii="Bookman Old Style" w:hAnsi="Bookman Old Style"/>
          <w:bCs/>
          <w:sz w:val="27"/>
          <w:szCs w:val="27"/>
        </w:rPr>
        <w:t xml:space="preserve"> de las formas propias de cada juicio, pues se trata de una garantía de marcada </w:t>
      </w:r>
      <w:r w:rsidRPr="00D87037">
        <w:rPr>
          <w:rFonts w:ascii="Bookman Old Style" w:hAnsi="Bookman Old Style"/>
          <w:bCs/>
          <w:i/>
          <w:sz w:val="27"/>
          <w:szCs w:val="27"/>
        </w:rPr>
        <w:t>composición normativa</w:t>
      </w:r>
      <w:r w:rsidRPr="00D87037">
        <w:rPr>
          <w:rFonts w:ascii="Bookman Old Style" w:hAnsi="Bookman Old Style"/>
          <w:bCs/>
          <w:sz w:val="27"/>
          <w:szCs w:val="27"/>
        </w:rPr>
        <w:t>.</w:t>
      </w:r>
    </w:p>
    <w:p w:rsidR="00727797" w:rsidRPr="00D87037" w:rsidRDefault="00727797" w:rsidP="00727F29">
      <w:pPr>
        <w:spacing w:line="336" w:lineRule="auto"/>
        <w:ind w:firstLine="705"/>
        <w:jc w:val="both"/>
        <w:rPr>
          <w:rFonts w:ascii="Bookman Old Style" w:hAnsi="Bookman Old Style"/>
          <w:sz w:val="27"/>
          <w:szCs w:val="27"/>
          <w:lang w:val="es-MX"/>
        </w:rPr>
      </w:pPr>
    </w:p>
    <w:p w:rsidR="00F20DE0" w:rsidRPr="00D87037" w:rsidRDefault="0002073E" w:rsidP="00727F29">
      <w:pPr>
        <w:spacing w:line="336" w:lineRule="auto"/>
        <w:ind w:firstLine="705"/>
        <w:jc w:val="both"/>
        <w:rPr>
          <w:rFonts w:ascii="Bookman Old Style" w:hAnsi="Bookman Old Style"/>
          <w:sz w:val="27"/>
          <w:szCs w:val="27"/>
          <w:lang w:val="es-MX"/>
        </w:rPr>
      </w:pPr>
      <w:r w:rsidRPr="00D87037">
        <w:rPr>
          <w:rFonts w:ascii="Bookman Old Style" w:hAnsi="Bookman Old Style"/>
          <w:sz w:val="27"/>
          <w:szCs w:val="27"/>
          <w:lang w:val="es-MX"/>
        </w:rPr>
        <w:t>Entre otras prerrogativas, e</w:t>
      </w:r>
      <w:r w:rsidR="00727797" w:rsidRPr="00D87037">
        <w:rPr>
          <w:rFonts w:ascii="Bookman Old Style" w:hAnsi="Bookman Old Style"/>
          <w:sz w:val="27"/>
          <w:szCs w:val="27"/>
          <w:lang w:val="es-MX"/>
        </w:rPr>
        <w:t xml:space="preserve">l art. 29 inc. 4º de la Constitución consagra el derecho a ser juzgado </w:t>
      </w:r>
      <w:r w:rsidR="00727797" w:rsidRPr="00D87037">
        <w:rPr>
          <w:rFonts w:ascii="Bookman Old Style" w:hAnsi="Bookman Old Style"/>
          <w:i/>
          <w:sz w:val="27"/>
          <w:szCs w:val="27"/>
          <w:lang w:val="es-MX"/>
        </w:rPr>
        <w:t>sin dilaciones injustificadas</w:t>
      </w:r>
      <w:r w:rsidR="00727797" w:rsidRPr="00D87037">
        <w:rPr>
          <w:rFonts w:ascii="Bookman Old Style" w:hAnsi="Bookman Old Style"/>
          <w:sz w:val="27"/>
          <w:szCs w:val="27"/>
          <w:lang w:val="es-MX"/>
        </w:rPr>
        <w:t xml:space="preserve">. En concordancia con el art. 93 inc. 1º </w:t>
      </w:r>
      <w:r w:rsidR="00727797" w:rsidRPr="00D87037">
        <w:rPr>
          <w:rFonts w:ascii="Bookman Old Style" w:hAnsi="Bookman Old Style"/>
          <w:i/>
          <w:sz w:val="27"/>
          <w:szCs w:val="27"/>
          <w:lang w:val="es-MX"/>
        </w:rPr>
        <w:t>ídem</w:t>
      </w:r>
      <w:r w:rsidR="00727797" w:rsidRPr="00D87037">
        <w:rPr>
          <w:rFonts w:ascii="Bookman Old Style" w:hAnsi="Bookman Old Style"/>
          <w:sz w:val="27"/>
          <w:szCs w:val="27"/>
          <w:lang w:val="es-MX"/>
        </w:rPr>
        <w:t>, este componente del debido proceso se identifica con el</w:t>
      </w:r>
      <w:r w:rsidR="00727797" w:rsidRPr="00D87037">
        <w:rPr>
          <w:rFonts w:ascii="Bookman Old Style" w:hAnsi="Bookman Old Style"/>
          <w:i/>
          <w:sz w:val="27"/>
          <w:szCs w:val="27"/>
          <w:lang w:val="es-MX"/>
        </w:rPr>
        <w:t xml:space="preserve"> derecho humano</w:t>
      </w:r>
      <w:r w:rsidR="00727797" w:rsidRPr="00D87037">
        <w:rPr>
          <w:rFonts w:ascii="Bookman Old Style" w:hAnsi="Bookman Old Style"/>
          <w:sz w:val="27"/>
          <w:szCs w:val="27"/>
          <w:lang w:val="es-MX"/>
        </w:rPr>
        <w:t xml:space="preserve"> a ser investigado y juzgado dentro de un </w:t>
      </w:r>
      <w:r w:rsidR="00727797" w:rsidRPr="00D87037">
        <w:rPr>
          <w:rFonts w:ascii="Bookman Old Style" w:hAnsi="Bookman Old Style"/>
          <w:i/>
          <w:sz w:val="27"/>
          <w:szCs w:val="27"/>
          <w:lang w:val="es-MX"/>
        </w:rPr>
        <w:t>plazo razonable</w:t>
      </w:r>
      <w:r w:rsidR="00727797" w:rsidRPr="00D87037">
        <w:rPr>
          <w:rFonts w:ascii="Bookman Old Style" w:hAnsi="Bookman Old Style"/>
          <w:sz w:val="27"/>
          <w:szCs w:val="27"/>
          <w:lang w:val="es-MX"/>
        </w:rPr>
        <w:t xml:space="preserve"> (arts. 1</w:t>
      </w:r>
      <w:r w:rsidR="0024266D" w:rsidRPr="00D87037">
        <w:rPr>
          <w:rFonts w:ascii="Bookman Old Style" w:hAnsi="Bookman Old Style"/>
          <w:sz w:val="27"/>
          <w:szCs w:val="27"/>
          <w:lang w:val="es-MX"/>
        </w:rPr>
        <w:t>4-3 lit. c</w:t>
      </w:r>
      <w:r w:rsidR="006E50B7" w:rsidRPr="00D87037">
        <w:rPr>
          <w:rFonts w:ascii="Bookman Old Style" w:hAnsi="Bookman Old Style"/>
          <w:sz w:val="27"/>
          <w:szCs w:val="27"/>
          <w:lang w:val="es-MX"/>
        </w:rPr>
        <w:t>)</w:t>
      </w:r>
      <w:r w:rsidR="00727797" w:rsidRPr="00D87037">
        <w:rPr>
          <w:rFonts w:ascii="Bookman Old Style" w:hAnsi="Bookman Old Style"/>
          <w:sz w:val="27"/>
          <w:szCs w:val="27"/>
          <w:lang w:val="es-MX"/>
        </w:rPr>
        <w:t xml:space="preserve"> P.I.D.C.P. y 8-1 C.A.D.H.). </w:t>
      </w:r>
    </w:p>
    <w:p w:rsidR="001446EF" w:rsidRPr="00D87037" w:rsidRDefault="001446EF" w:rsidP="00727F29">
      <w:pPr>
        <w:spacing w:line="336" w:lineRule="auto"/>
        <w:ind w:firstLine="705"/>
        <w:jc w:val="both"/>
        <w:rPr>
          <w:rFonts w:ascii="Bookman Old Style" w:hAnsi="Bookman Old Style"/>
          <w:sz w:val="27"/>
          <w:szCs w:val="27"/>
          <w:lang w:val="es-MX"/>
        </w:rPr>
      </w:pPr>
    </w:p>
    <w:p w:rsidR="001446EF" w:rsidRPr="00FA3473" w:rsidRDefault="001446EF" w:rsidP="00727F29">
      <w:pPr>
        <w:spacing w:line="336" w:lineRule="auto"/>
        <w:ind w:firstLine="705"/>
        <w:jc w:val="both"/>
        <w:rPr>
          <w:rFonts w:ascii="Bookman Old Style" w:hAnsi="Bookman Old Style"/>
          <w:sz w:val="24"/>
          <w:szCs w:val="24"/>
          <w:lang w:val="es-MX"/>
        </w:rPr>
      </w:pPr>
      <w:r w:rsidRPr="00D87037">
        <w:rPr>
          <w:rFonts w:ascii="Bookman Old Style" w:hAnsi="Bookman Old Style"/>
          <w:sz w:val="27"/>
          <w:szCs w:val="27"/>
          <w:lang w:val="es-MX"/>
        </w:rPr>
        <w:t>En materia penal, bien es sabido que la libertad no sólo puede ser afectada mediante la imposición de una pena, sino que, de manera excepcional, accesoria y cautelar, atendiendo a criterios de adecuación, necesidad</w:t>
      </w:r>
      <w:r w:rsidR="007F6A7F" w:rsidRPr="00D87037">
        <w:rPr>
          <w:rFonts w:ascii="Bookman Old Style" w:hAnsi="Bookman Old Style"/>
          <w:sz w:val="27"/>
          <w:szCs w:val="27"/>
          <w:lang w:val="es-MX"/>
        </w:rPr>
        <w:t>, razonabilidad</w:t>
      </w:r>
      <w:r w:rsidRPr="00D87037">
        <w:rPr>
          <w:rFonts w:ascii="Bookman Old Style" w:hAnsi="Bookman Old Style"/>
          <w:sz w:val="27"/>
          <w:szCs w:val="27"/>
          <w:lang w:val="es-MX"/>
        </w:rPr>
        <w:t xml:space="preserve"> y proporcionalidad, también puede restringirse preventivamente </w:t>
      </w:r>
      <w:r w:rsidR="00270B99" w:rsidRPr="00D87037">
        <w:rPr>
          <w:rFonts w:ascii="Bookman Old Style" w:hAnsi="Bookman Old Style"/>
          <w:sz w:val="27"/>
          <w:szCs w:val="27"/>
          <w:lang w:val="es-MX"/>
        </w:rPr>
        <w:t>con finalidades procesales</w:t>
      </w:r>
      <w:r w:rsidR="00250660">
        <w:rPr>
          <w:rFonts w:ascii="Bookman Old Style" w:hAnsi="Bookman Old Style"/>
          <w:lang w:val="es-MX"/>
        </w:rPr>
        <w:t xml:space="preserve"> </w:t>
      </w:r>
      <w:r w:rsidR="00250660" w:rsidRPr="00D87037">
        <w:rPr>
          <w:rFonts w:ascii="Bookman Old Style" w:hAnsi="Bookman Old Style"/>
          <w:sz w:val="25"/>
          <w:szCs w:val="25"/>
          <w:lang w:val="es-MX"/>
        </w:rPr>
        <w:t xml:space="preserve">(aseguramiento de la comparecencia </w:t>
      </w:r>
      <w:r w:rsidR="00D87037" w:rsidRPr="00D87037">
        <w:rPr>
          <w:rFonts w:ascii="Bookman Old Style" w:hAnsi="Bookman Old Style"/>
          <w:sz w:val="25"/>
          <w:szCs w:val="25"/>
          <w:lang w:val="es-MX"/>
        </w:rPr>
        <w:t xml:space="preserve">del imputado </w:t>
      </w:r>
      <w:r w:rsidR="00250660" w:rsidRPr="00D87037">
        <w:rPr>
          <w:rFonts w:ascii="Bookman Old Style" w:hAnsi="Bookman Old Style"/>
          <w:sz w:val="25"/>
          <w:szCs w:val="25"/>
          <w:lang w:val="es-MX"/>
        </w:rPr>
        <w:t>al proceso y</w:t>
      </w:r>
      <w:r w:rsidR="00D87037" w:rsidRPr="00D87037">
        <w:rPr>
          <w:rFonts w:ascii="Bookman Old Style" w:hAnsi="Bookman Old Style"/>
          <w:sz w:val="25"/>
          <w:szCs w:val="25"/>
          <w:lang w:val="es-MX"/>
        </w:rPr>
        <w:t xml:space="preserve"> conservación de la prueba)</w:t>
      </w:r>
      <w:r w:rsidR="009C2760" w:rsidRPr="00FA3473">
        <w:rPr>
          <w:rFonts w:ascii="Bookman Old Style" w:hAnsi="Bookman Old Style"/>
          <w:lang w:val="es-MX"/>
        </w:rPr>
        <w:t xml:space="preserve">, </w:t>
      </w:r>
      <w:r w:rsidR="009C2760" w:rsidRPr="00D87037">
        <w:rPr>
          <w:rFonts w:ascii="Bookman Old Style" w:hAnsi="Bookman Old Style"/>
          <w:sz w:val="27"/>
          <w:szCs w:val="27"/>
          <w:lang w:val="es-MX"/>
        </w:rPr>
        <w:t xml:space="preserve">de protección a la comunidad, </w:t>
      </w:r>
      <w:r w:rsidR="00270B99" w:rsidRPr="00D87037">
        <w:rPr>
          <w:rFonts w:ascii="Bookman Old Style" w:hAnsi="Bookman Old Style"/>
          <w:sz w:val="27"/>
          <w:szCs w:val="27"/>
          <w:lang w:val="es-MX"/>
        </w:rPr>
        <w:t xml:space="preserve">en especial </w:t>
      </w:r>
      <w:r w:rsidR="006E50B7" w:rsidRPr="00D87037">
        <w:rPr>
          <w:rFonts w:ascii="Bookman Old Style" w:hAnsi="Bookman Old Style"/>
          <w:sz w:val="27"/>
          <w:szCs w:val="27"/>
          <w:lang w:val="es-MX"/>
        </w:rPr>
        <w:t xml:space="preserve">a </w:t>
      </w:r>
      <w:r w:rsidR="00270B99" w:rsidRPr="00D87037">
        <w:rPr>
          <w:rFonts w:ascii="Bookman Old Style" w:hAnsi="Bookman Old Style"/>
          <w:sz w:val="27"/>
          <w:szCs w:val="27"/>
          <w:lang w:val="es-MX"/>
        </w:rPr>
        <w:t>las víctimas, y de</w:t>
      </w:r>
      <w:r w:rsidR="00260C5A" w:rsidRPr="00D87037">
        <w:rPr>
          <w:rFonts w:ascii="Bookman Old Style" w:hAnsi="Bookman Old Style"/>
          <w:sz w:val="27"/>
          <w:szCs w:val="27"/>
          <w:lang w:val="es-MX"/>
        </w:rPr>
        <w:t xml:space="preserve"> aseguramiento del eventual cumplimiento de la pena </w:t>
      </w:r>
      <w:r w:rsidR="00260C5A" w:rsidRPr="00FA3473">
        <w:rPr>
          <w:rFonts w:ascii="Bookman Old Style" w:hAnsi="Bookman Old Style"/>
          <w:sz w:val="24"/>
          <w:szCs w:val="24"/>
          <w:lang w:val="es-MX"/>
        </w:rPr>
        <w:t xml:space="preserve">(art. 250-1 de la Constitución). </w:t>
      </w:r>
    </w:p>
    <w:p w:rsidR="0042526C" w:rsidRPr="00FA3473" w:rsidRDefault="0042526C" w:rsidP="00727F29">
      <w:pPr>
        <w:spacing w:line="336" w:lineRule="auto"/>
        <w:ind w:firstLine="705"/>
        <w:jc w:val="both"/>
        <w:rPr>
          <w:rFonts w:ascii="Bookman Old Style" w:hAnsi="Bookman Old Style"/>
          <w:lang w:val="es-MX"/>
        </w:rPr>
      </w:pPr>
    </w:p>
    <w:p w:rsidR="00BE3931" w:rsidRPr="00FA3473" w:rsidRDefault="0042526C" w:rsidP="00727F29">
      <w:pPr>
        <w:spacing w:line="336" w:lineRule="auto"/>
        <w:ind w:firstLine="705"/>
        <w:jc w:val="both"/>
        <w:rPr>
          <w:rFonts w:ascii="Bookman Old Style" w:hAnsi="Bookman Old Style"/>
          <w:lang w:val="es-CO"/>
        </w:rPr>
      </w:pPr>
      <w:r w:rsidRPr="00FA3473">
        <w:rPr>
          <w:rFonts w:ascii="Bookman Old Style" w:hAnsi="Bookman Old Style"/>
          <w:lang w:val="es-CO"/>
        </w:rPr>
        <w:t>De ah</w:t>
      </w:r>
      <w:r w:rsidR="003234CF" w:rsidRPr="00FA3473">
        <w:rPr>
          <w:rFonts w:ascii="Bookman Old Style" w:hAnsi="Bookman Old Style"/>
          <w:lang w:val="es-CO"/>
        </w:rPr>
        <w:t>í que</w:t>
      </w:r>
      <w:r w:rsidRPr="00FA3473">
        <w:rPr>
          <w:rFonts w:ascii="Bookman Old Style" w:hAnsi="Bookman Old Style"/>
          <w:lang w:val="es-CO"/>
        </w:rPr>
        <w:t xml:space="preserve"> la articulación del derecho a ser juzgado sin dilaciones injustificadas</w:t>
      </w:r>
      <w:r w:rsidR="00137C4C" w:rsidRPr="00FA3473">
        <w:rPr>
          <w:rFonts w:ascii="Bookman Old Style" w:hAnsi="Bookman Old Style"/>
          <w:lang w:val="es-CO"/>
        </w:rPr>
        <w:t xml:space="preserve"> </w:t>
      </w:r>
      <w:r w:rsidR="00254881" w:rsidRPr="00FA3473">
        <w:rPr>
          <w:rFonts w:ascii="Bookman Old Style" w:hAnsi="Bookman Old Style"/>
          <w:lang w:val="es-CO"/>
        </w:rPr>
        <w:t xml:space="preserve">con las limitaciones propias que </w:t>
      </w:r>
      <w:r w:rsidR="00D0289F">
        <w:rPr>
          <w:rFonts w:ascii="Bookman Old Style" w:hAnsi="Bookman Old Style"/>
          <w:lang w:val="es-CO"/>
        </w:rPr>
        <w:t>legitim</w:t>
      </w:r>
      <w:r w:rsidR="00254881" w:rsidRPr="00FA3473">
        <w:rPr>
          <w:rFonts w:ascii="Bookman Old Style" w:hAnsi="Bookman Old Style"/>
          <w:lang w:val="es-CO"/>
        </w:rPr>
        <w:t xml:space="preserve">an la restricción cautelar de la libertad, </w:t>
      </w:r>
      <w:r w:rsidR="00BE3931" w:rsidRPr="00FA3473">
        <w:rPr>
          <w:rFonts w:ascii="Bookman Old Style" w:hAnsi="Bookman Old Style"/>
          <w:lang w:val="es-CO"/>
        </w:rPr>
        <w:t xml:space="preserve">permitan afirmar, por una parte, </w:t>
      </w:r>
      <w:r w:rsidR="00AB5CC4" w:rsidRPr="00FA3473">
        <w:rPr>
          <w:rFonts w:ascii="Bookman Old Style" w:hAnsi="Bookman Old Style"/>
          <w:lang w:val="es-CO"/>
        </w:rPr>
        <w:t xml:space="preserve">la existencia de una </w:t>
      </w:r>
      <w:r w:rsidR="00AB5CC4" w:rsidRPr="00FA3473">
        <w:rPr>
          <w:rFonts w:ascii="Bookman Old Style" w:hAnsi="Bookman Old Style"/>
          <w:i/>
          <w:lang w:val="es-CO"/>
        </w:rPr>
        <w:t>garantía fundamental</w:t>
      </w:r>
      <w:r w:rsidR="00AB5CC4" w:rsidRPr="00FA3473">
        <w:rPr>
          <w:rFonts w:ascii="Bookman Old Style" w:hAnsi="Bookman Old Style"/>
          <w:lang w:val="es-CO"/>
        </w:rPr>
        <w:t xml:space="preserve"> a ser investigado y procesado dentro de </w:t>
      </w:r>
      <w:r w:rsidR="00AB5CC4" w:rsidRPr="00FA3473">
        <w:rPr>
          <w:rFonts w:ascii="Bookman Old Style" w:hAnsi="Bookman Old Style"/>
          <w:lang w:val="es-CO"/>
        </w:rPr>
        <w:lastRenderedPageBreak/>
        <w:t>t</w:t>
      </w:r>
      <w:r w:rsidR="00BE3931" w:rsidRPr="00FA3473">
        <w:rPr>
          <w:rFonts w:ascii="Bookman Old Style" w:hAnsi="Bookman Old Style"/>
          <w:lang w:val="es-CO"/>
        </w:rPr>
        <w:t xml:space="preserve">érminos razonables; y, por otra, el </w:t>
      </w:r>
      <w:r w:rsidR="00BE3931" w:rsidRPr="00FA3473">
        <w:rPr>
          <w:rFonts w:ascii="Bookman Old Style" w:hAnsi="Bookman Old Style"/>
          <w:i/>
          <w:lang w:val="es-CO"/>
        </w:rPr>
        <w:t>derecho humano</w:t>
      </w:r>
      <w:r w:rsidR="00BE3931" w:rsidRPr="00FA3473">
        <w:rPr>
          <w:rFonts w:ascii="Bookman Old Style" w:hAnsi="Bookman Old Style"/>
          <w:lang w:val="es-CO"/>
        </w:rPr>
        <w:t xml:space="preserve"> a ser dejado en libertad si se es procesado en detención y se traspasan los límites del plazo razonable. </w:t>
      </w:r>
    </w:p>
    <w:p w:rsidR="00BE3931" w:rsidRPr="00FA3473" w:rsidRDefault="00BE3931" w:rsidP="00727F29">
      <w:pPr>
        <w:spacing w:line="336" w:lineRule="auto"/>
        <w:ind w:firstLine="705"/>
        <w:jc w:val="both"/>
        <w:rPr>
          <w:rFonts w:ascii="Bookman Old Style" w:hAnsi="Bookman Old Style"/>
          <w:lang w:val="es-CO"/>
        </w:rPr>
      </w:pPr>
    </w:p>
    <w:p w:rsidR="00BE3931" w:rsidRPr="00FA3473" w:rsidRDefault="0024266D" w:rsidP="00727F29">
      <w:pPr>
        <w:spacing w:line="336" w:lineRule="auto"/>
        <w:ind w:firstLine="705"/>
        <w:jc w:val="both"/>
        <w:rPr>
          <w:rFonts w:ascii="Bookman Old Style" w:hAnsi="Bookman Old Style"/>
          <w:lang w:val="es-CO"/>
        </w:rPr>
      </w:pPr>
      <w:r w:rsidRPr="00FA3473">
        <w:rPr>
          <w:rFonts w:ascii="Bookman Old Style" w:hAnsi="Bookman Old Style"/>
          <w:lang w:val="es-CO"/>
        </w:rPr>
        <w:t>A ese respecto, el art. 7-5 de la C.A.D.H., integrante d</w:t>
      </w:r>
      <w:r w:rsidR="00460984" w:rsidRPr="00FA3473">
        <w:rPr>
          <w:rFonts w:ascii="Bookman Old Style" w:hAnsi="Bookman Old Style"/>
          <w:lang w:val="es-CO"/>
        </w:rPr>
        <w:t>e la Constitución por la vía de su</w:t>
      </w:r>
      <w:r w:rsidRPr="00FA3473">
        <w:rPr>
          <w:rFonts w:ascii="Bookman Old Style" w:hAnsi="Bookman Old Style"/>
          <w:lang w:val="es-CO"/>
        </w:rPr>
        <w:t xml:space="preserve"> art. 93 inc. 1º, </w:t>
      </w:r>
      <w:r w:rsidR="00137C4C" w:rsidRPr="00FA3473">
        <w:rPr>
          <w:rFonts w:ascii="Bookman Old Style" w:hAnsi="Bookman Old Style"/>
          <w:lang w:val="es-CO"/>
        </w:rPr>
        <w:t xml:space="preserve">establece que toda persona detenida tendrá derecho a ser juzgada dentro de un plazo razonable o a ser puesta en libertad, sin perjuicio de que continúe el proceso. En este evento, prosigue la norma, la libertad podrá estar condicionada a garantías que aseguren su comparecencia en el juicio. </w:t>
      </w:r>
    </w:p>
    <w:p w:rsidR="00E5613D" w:rsidRPr="00FA3473" w:rsidRDefault="00E5613D" w:rsidP="00727F29">
      <w:pPr>
        <w:spacing w:line="336" w:lineRule="auto"/>
        <w:ind w:firstLine="705"/>
        <w:jc w:val="both"/>
        <w:rPr>
          <w:rFonts w:ascii="Bookman Old Style" w:hAnsi="Bookman Old Style"/>
          <w:lang w:val="es-CO"/>
        </w:rPr>
      </w:pPr>
    </w:p>
    <w:p w:rsidR="00E5613D" w:rsidRPr="00FA3473" w:rsidRDefault="00E5613D" w:rsidP="00727F29">
      <w:pPr>
        <w:spacing w:line="336" w:lineRule="auto"/>
        <w:ind w:firstLine="705"/>
        <w:jc w:val="both"/>
        <w:rPr>
          <w:rFonts w:ascii="Bookman Old Style" w:hAnsi="Bookman Old Style"/>
          <w:lang w:val="es-CO"/>
        </w:rPr>
      </w:pPr>
      <w:r w:rsidRPr="00FA3473">
        <w:rPr>
          <w:rFonts w:ascii="Bookman Old Style" w:hAnsi="Bookman Old Style"/>
          <w:lang w:val="es-CO"/>
        </w:rPr>
        <w:t>La</w:t>
      </w:r>
      <w:r w:rsidR="00BB2013">
        <w:rPr>
          <w:rFonts w:ascii="Bookman Old Style" w:hAnsi="Bookman Old Style"/>
          <w:lang w:val="es-CO"/>
        </w:rPr>
        <w:t xml:space="preserve"> existencia de tal prerrogativa</w:t>
      </w:r>
      <w:r w:rsidRPr="00FA3473">
        <w:rPr>
          <w:rFonts w:ascii="Bookman Old Style" w:hAnsi="Bookman Old Style"/>
          <w:i/>
          <w:lang w:val="es-CO"/>
        </w:rPr>
        <w:t xml:space="preserve"> </w:t>
      </w:r>
      <w:r w:rsidRPr="00BB2013">
        <w:rPr>
          <w:rFonts w:ascii="Bookman Old Style" w:hAnsi="Bookman Old Style"/>
          <w:lang w:val="es-CO"/>
        </w:rPr>
        <w:t>fundamental</w:t>
      </w:r>
      <w:r w:rsidRPr="00FA3473">
        <w:rPr>
          <w:rFonts w:ascii="Bookman Old Style" w:hAnsi="Bookman Old Style"/>
          <w:lang w:val="es-CO"/>
        </w:rPr>
        <w:t xml:space="preserve"> en el ordenamiento interno colombiano ha sido ratificada por la Corte Constitucional, corporación que no sólo reconoce en la Con</w:t>
      </w:r>
      <w:r w:rsidR="00AC357C" w:rsidRPr="00FA3473">
        <w:rPr>
          <w:rFonts w:ascii="Bookman Old Style" w:hAnsi="Bookman Old Style"/>
          <w:lang w:val="es-CO"/>
        </w:rPr>
        <w:t>stitución el derecho a ser j</w:t>
      </w:r>
      <w:r w:rsidR="00F938DF" w:rsidRPr="00FA3473">
        <w:rPr>
          <w:rFonts w:ascii="Bookman Old Style" w:hAnsi="Bookman Old Style"/>
          <w:lang w:val="es-CO"/>
        </w:rPr>
        <w:t xml:space="preserve">uzgado dentro de plazos razonables, preestablecidos legalmente, sino a que las medidas restrictivas de la libertad también tengan un </w:t>
      </w:r>
      <w:r w:rsidR="00F938DF" w:rsidRPr="00FA3473">
        <w:rPr>
          <w:rFonts w:ascii="Bookman Old Style" w:hAnsi="Bookman Old Style"/>
          <w:i/>
          <w:lang w:val="es-CO"/>
        </w:rPr>
        <w:t>plazo máximo de duración</w:t>
      </w:r>
      <w:r w:rsidR="00F938DF" w:rsidRPr="00FA3473">
        <w:rPr>
          <w:rFonts w:ascii="Bookman Old Style" w:hAnsi="Bookman Old Style"/>
          <w:lang w:val="es-CO"/>
        </w:rPr>
        <w:t>, como manifestación del principio de proporcionalidad o prohibición de exceso. A ese respecto, textualmente se lee en la sentencia C-221 de 2017:</w:t>
      </w:r>
    </w:p>
    <w:p w:rsidR="00F938DF" w:rsidRPr="00FA3473" w:rsidRDefault="00F938DF" w:rsidP="008C63B9">
      <w:pPr>
        <w:spacing w:line="360" w:lineRule="auto"/>
        <w:ind w:firstLine="705"/>
        <w:jc w:val="both"/>
        <w:rPr>
          <w:rFonts w:ascii="Bookman Old Style" w:hAnsi="Bookman Old Style"/>
          <w:lang w:val="es-CO"/>
        </w:rPr>
      </w:pPr>
    </w:p>
    <w:p w:rsidR="00F938DF" w:rsidRPr="00FA3473" w:rsidRDefault="00F938DF" w:rsidP="00F938DF">
      <w:pPr>
        <w:ind w:left="709" w:right="616"/>
        <w:jc w:val="both"/>
        <w:rPr>
          <w:rFonts w:ascii="Bookman Old Style" w:hAnsi="Bookman Old Style" w:cs="Times New Roman"/>
          <w:sz w:val="24"/>
          <w:szCs w:val="24"/>
        </w:rPr>
      </w:pPr>
      <w:r w:rsidRPr="00FA3473">
        <w:rPr>
          <w:rFonts w:ascii="Bookman Old Style" w:hAnsi="Bookman Old Style" w:cs="Times New Roman"/>
          <w:sz w:val="24"/>
          <w:szCs w:val="24"/>
        </w:rPr>
        <w:t xml:space="preserve">8. En materia penal, el derecho a un debido proceso sin dilaciones injustificadas adquiere una importancia vital, por obvias razones vinculadas a la intensa afectación del derecho a la libertad personal del imputado que ocasionalmente se produce durante la actuación, como consecuencia de la imposición de medidas cautelares, con fines preventivos. Como se enunció en la sección anterior, la creación legislativa de las medidas de aseguramiento se halla sometida a un conjunto de límites constitucionales </w:t>
      </w:r>
      <w:r w:rsidRPr="00FA3473">
        <w:rPr>
          <w:rFonts w:ascii="Bookman Old Style" w:hAnsi="Bookman Old Style" w:cs="Times New Roman"/>
          <w:sz w:val="24"/>
          <w:szCs w:val="24"/>
        </w:rPr>
        <w:lastRenderedPageBreak/>
        <w:t xml:space="preserve">de carácter sustancial, que sirven de garantías para la salvaguarda de la dignidad humana y la proscripción del exceso en su utilización, límites dentro de las cuales se encuentra el derecho a un proceso sin dilaciones injustificadas. </w:t>
      </w:r>
    </w:p>
    <w:p w:rsidR="00F938DF" w:rsidRPr="00FA3473" w:rsidRDefault="00F938DF" w:rsidP="00F938DF">
      <w:pPr>
        <w:ind w:left="709" w:right="616"/>
        <w:jc w:val="both"/>
        <w:rPr>
          <w:rFonts w:ascii="Bookman Old Style" w:hAnsi="Bookman Old Style" w:cs="Times New Roman"/>
          <w:sz w:val="24"/>
          <w:szCs w:val="24"/>
        </w:rPr>
      </w:pPr>
    </w:p>
    <w:p w:rsidR="00F938DF" w:rsidRDefault="00F938DF" w:rsidP="00F938DF">
      <w:pPr>
        <w:ind w:left="709" w:right="616"/>
        <w:jc w:val="both"/>
        <w:rPr>
          <w:rFonts w:ascii="Bookman Old Style" w:hAnsi="Bookman Old Style" w:cs="Times New Roman"/>
          <w:sz w:val="24"/>
          <w:szCs w:val="24"/>
        </w:rPr>
      </w:pPr>
      <w:r w:rsidRPr="00FA3473">
        <w:rPr>
          <w:rFonts w:ascii="Bookman Old Style" w:hAnsi="Bookman Old Style" w:cs="Times New Roman"/>
          <w:sz w:val="24"/>
          <w:szCs w:val="24"/>
        </w:rPr>
        <w:t xml:space="preserve">La Corte ha indicado que la detención preventiva de una persona acusada de un delito restringe su derecho a la libertad personal, con el propósito de garantizar otros fines constitucionales.  Sin embargo, también ha precisado que los artículos 29 de la Constitución y 9º del Pacto Internacional de Derechos Políticos y Civiles </w:t>
      </w:r>
      <w:r w:rsidRPr="00FA3473">
        <w:rPr>
          <w:rFonts w:ascii="Bookman Old Style" w:hAnsi="Bookman Old Style" w:cs="Times New Roman"/>
          <w:b/>
          <w:i/>
          <w:sz w:val="24"/>
          <w:szCs w:val="24"/>
        </w:rPr>
        <w:t>impiden que se persista en la prolongación de la detención luego de un cierto lapso</w:t>
      </w:r>
      <w:r w:rsidRPr="00FA3473">
        <w:rPr>
          <w:rFonts w:ascii="Bookman Old Style" w:hAnsi="Bookman Old Style" w:cs="Times New Roman"/>
          <w:sz w:val="24"/>
          <w:szCs w:val="24"/>
        </w:rPr>
        <w:t xml:space="preserve"> que, además, de ninguna manera puede coincidir con el término de la pena, pues se desvirtuaría la finalidad eminentemente cautelar de la detención preventiva y terminaría convertida en un anticipado cumplimiento de la sanción, con evidente menoscabo del principio de presunción de inocencia. </w:t>
      </w:r>
    </w:p>
    <w:p w:rsidR="00ED0690" w:rsidRPr="00FA3473" w:rsidRDefault="00ED0690" w:rsidP="00F938DF">
      <w:pPr>
        <w:ind w:left="709" w:right="616"/>
        <w:jc w:val="both"/>
        <w:rPr>
          <w:rFonts w:ascii="Bookman Old Style" w:hAnsi="Bookman Old Style" w:cs="Times New Roman"/>
          <w:sz w:val="24"/>
          <w:szCs w:val="24"/>
        </w:rPr>
      </w:pPr>
    </w:p>
    <w:p w:rsidR="00F938DF" w:rsidRPr="00FA3473" w:rsidRDefault="00F938DF" w:rsidP="00F938DF">
      <w:pPr>
        <w:ind w:left="709" w:right="616"/>
        <w:jc w:val="both"/>
        <w:rPr>
          <w:rFonts w:ascii="Bookman Old Style" w:hAnsi="Bookman Old Style" w:cs="Times New Roman"/>
          <w:sz w:val="24"/>
          <w:szCs w:val="24"/>
        </w:rPr>
      </w:pPr>
      <w:r w:rsidRPr="00FA3473">
        <w:rPr>
          <w:rFonts w:ascii="Bookman Old Style" w:hAnsi="Bookman Old Style" w:cs="Times New Roman"/>
          <w:sz w:val="24"/>
          <w:szCs w:val="24"/>
        </w:rPr>
        <w:t xml:space="preserve">Ha sostenido también, en el anterior sentido, que la </w:t>
      </w:r>
      <w:r w:rsidRPr="00FA3473">
        <w:rPr>
          <w:rFonts w:ascii="Bookman Old Style" w:hAnsi="Bookman Old Style" w:cs="Times New Roman"/>
          <w:b/>
          <w:i/>
          <w:sz w:val="24"/>
          <w:szCs w:val="24"/>
        </w:rPr>
        <w:t>fijación legal de un término máximo de duración de la detención provisional</w:t>
      </w:r>
      <w:r w:rsidRPr="00FA3473">
        <w:rPr>
          <w:rFonts w:ascii="Bookman Old Style" w:hAnsi="Bookman Old Style" w:cs="Times New Roman"/>
          <w:sz w:val="24"/>
          <w:szCs w:val="24"/>
        </w:rPr>
        <w:t>, aplicable a las etapas de investigación y juzgamiento, consulta en una sociedad democrática el delicado equilibrio que debe mantenerse entre el interés legítimo del Estado de perseguir eficazmente el delito y sancionar a los responsables y, de otro lado, la necesidad de asegurar la libertad de las personas y la posibilidad de garantizar un proceso justo e imparcial. La detención temporal es una medida cautelar pero, innegablemente, “</w:t>
      </w:r>
      <w:r w:rsidRPr="00FA3473">
        <w:rPr>
          <w:rFonts w:ascii="Bookman Old Style" w:hAnsi="Bookman Old Style" w:cs="Times New Roman"/>
          <w:i/>
          <w:sz w:val="24"/>
          <w:szCs w:val="24"/>
        </w:rPr>
        <w:t>trasciende sus efectos procesales y repercute negativamente en la esfera de la libertad personal del inculpado</w:t>
      </w:r>
      <w:r w:rsidRPr="00FA3473">
        <w:rPr>
          <w:rFonts w:ascii="Bookman Old Style" w:hAnsi="Bookman Old Style" w:cs="Times New Roman"/>
          <w:sz w:val="24"/>
          <w:szCs w:val="24"/>
        </w:rPr>
        <w:t>”</w:t>
      </w:r>
      <w:r w:rsidRPr="00FA3473">
        <w:rPr>
          <w:rFonts w:ascii="Bookman Old Style" w:hAnsi="Bookman Old Style" w:cs="Times New Roman"/>
          <w:i/>
          <w:sz w:val="24"/>
          <w:szCs w:val="24"/>
        </w:rPr>
        <w:t xml:space="preserve">, </w:t>
      </w:r>
      <w:r w:rsidRPr="00FA3473">
        <w:rPr>
          <w:rFonts w:ascii="Bookman Old Style" w:hAnsi="Bookman Old Style" w:cs="Times New Roman"/>
          <w:sz w:val="24"/>
          <w:szCs w:val="24"/>
        </w:rPr>
        <w:t xml:space="preserve">lo cual revela la importancia de señalar términos máximos de su duración. </w:t>
      </w:r>
    </w:p>
    <w:p w:rsidR="0005127F" w:rsidRDefault="0005127F" w:rsidP="00F938DF">
      <w:pPr>
        <w:ind w:left="709" w:right="616"/>
        <w:jc w:val="both"/>
        <w:rPr>
          <w:rFonts w:ascii="Bookman Old Style" w:hAnsi="Bookman Old Style" w:cs="Times New Roman"/>
          <w:sz w:val="24"/>
          <w:szCs w:val="24"/>
        </w:rPr>
      </w:pPr>
    </w:p>
    <w:p w:rsidR="00386827" w:rsidRPr="00FA3473" w:rsidRDefault="00386827" w:rsidP="00F938DF">
      <w:pPr>
        <w:ind w:left="709" w:right="616"/>
        <w:jc w:val="both"/>
        <w:rPr>
          <w:rFonts w:ascii="Bookman Old Style" w:hAnsi="Bookman Old Style" w:cs="Times New Roman"/>
          <w:sz w:val="24"/>
          <w:szCs w:val="24"/>
        </w:rPr>
      </w:pPr>
    </w:p>
    <w:p w:rsidR="00F938DF" w:rsidRPr="00FA3473" w:rsidRDefault="00F938DF" w:rsidP="00727F29">
      <w:pPr>
        <w:spacing w:line="336" w:lineRule="auto"/>
        <w:ind w:firstLine="703"/>
        <w:jc w:val="both"/>
        <w:rPr>
          <w:rFonts w:ascii="Bookman Old Style" w:hAnsi="Bookman Old Style"/>
        </w:rPr>
      </w:pPr>
      <w:r w:rsidRPr="007A3826">
        <w:rPr>
          <w:rFonts w:ascii="Bookman Old Style" w:hAnsi="Bookman Old Style"/>
          <w:sz w:val="27"/>
          <w:szCs w:val="27"/>
        </w:rPr>
        <w:t xml:space="preserve">Sin embargo, en tanto manifestación del debido proceso, el plazo razonable necesita de una concreción </w:t>
      </w:r>
      <w:r w:rsidRPr="007A3826">
        <w:rPr>
          <w:rFonts w:ascii="Bookman Old Style" w:hAnsi="Bookman Old Style"/>
          <w:i/>
          <w:sz w:val="27"/>
          <w:szCs w:val="27"/>
        </w:rPr>
        <w:t>legislativa</w:t>
      </w:r>
      <w:r w:rsidRPr="007A3826">
        <w:rPr>
          <w:rFonts w:ascii="Bookman Old Style" w:hAnsi="Bookman Old Style"/>
          <w:sz w:val="27"/>
          <w:szCs w:val="27"/>
        </w:rPr>
        <w:t xml:space="preserve"> que, traducida a las formas propias del juicio, establezca los </w:t>
      </w:r>
      <w:r w:rsidRPr="007A3826">
        <w:rPr>
          <w:rFonts w:ascii="Bookman Old Style" w:hAnsi="Bookman Old Style"/>
          <w:i/>
          <w:sz w:val="27"/>
          <w:szCs w:val="27"/>
        </w:rPr>
        <w:t>términos específicos</w:t>
      </w:r>
      <w:r w:rsidRPr="007A3826">
        <w:rPr>
          <w:rFonts w:ascii="Bookman Old Style" w:hAnsi="Bookman Old Style"/>
          <w:sz w:val="27"/>
          <w:szCs w:val="27"/>
        </w:rPr>
        <w:t xml:space="preserve"> que ha de respetar el Estado para perseguir penalmente a una persona con restricción de la libertad personal. Ejemplo de ello es el establecimiento de </w:t>
      </w:r>
      <w:r w:rsidRPr="007A3826">
        <w:rPr>
          <w:rFonts w:ascii="Bookman Old Style" w:hAnsi="Bookman Old Style"/>
          <w:sz w:val="27"/>
          <w:szCs w:val="27"/>
        </w:rPr>
        <w:lastRenderedPageBreak/>
        <w:t xml:space="preserve">causales de libertad por vencimiento de términos </w:t>
      </w:r>
      <w:r w:rsidRPr="00FA3473">
        <w:rPr>
          <w:rFonts w:ascii="Bookman Old Style" w:hAnsi="Bookman Old Style"/>
          <w:sz w:val="24"/>
          <w:szCs w:val="24"/>
        </w:rPr>
        <w:t xml:space="preserve">(cfr. </w:t>
      </w:r>
      <w:r w:rsidR="009344B2" w:rsidRPr="00FA3473">
        <w:rPr>
          <w:rFonts w:ascii="Bookman Old Style" w:hAnsi="Bookman Old Style"/>
          <w:sz w:val="24"/>
          <w:szCs w:val="24"/>
        </w:rPr>
        <w:t>art</w:t>
      </w:r>
      <w:r w:rsidRPr="00FA3473">
        <w:rPr>
          <w:rFonts w:ascii="Bookman Old Style" w:hAnsi="Bookman Old Style"/>
          <w:sz w:val="24"/>
          <w:szCs w:val="24"/>
        </w:rPr>
        <w:t xml:space="preserve">. 317 </w:t>
      </w:r>
      <w:r w:rsidR="009344B2" w:rsidRPr="00FA3473">
        <w:rPr>
          <w:rFonts w:ascii="Bookman Old Style" w:hAnsi="Bookman Old Style"/>
          <w:sz w:val="24"/>
          <w:szCs w:val="24"/>
        </w:rPr>
        <w:t xml:space="preserve">nums. 4 al 6 </w:t>
      </w:r>
      <w:r w:rsidRPr="00FA3473">
        <w:rPr>
          <w:rFonts w:ascii="Bookman Old Style" w:hAnsi="Bookman Old Style"/>
          <w:sz w:val="24"/>
          <w:szCs w:val="24"/>
        </w:rPr>
        <w:t xml:space="preserve">de la Ley 906 de 2004 y </w:t>
      </w:r>
      <w:r w:rsidR="009344B2" w:rsidRPr="00FA3473">
        <w:rPr>
          <w:rFonts w:ascii="Bookman Old Style" w:hAnsi="Bookman Old Style"/>
          <w:sz w:val="24"/>
          <w:szCs w:val="24"/>
        </w:rPr>
        <w:t xml:space="preserve">art. </w:t>
      </w:r>
      <w:r w:rsidRPr="00FA3473">
        <w:rPr>
          <w:rFonts w:ascii="Bookman Old Style" w:hAnsi="Bookman Old Style"/>
          <w:sz w:val="24"/>
          <w:szCs w:val="24"/>
        </w:rPr>
        <w:t>365</w:t>
      </w:r>
      <w:r w:rsidR="009344B2" w:rsidRPr="00FA3473">
        <w:rPr>
          <w:rFonts w:ascii="Bookman Old Style" w:hAnsi="Bookman Old Style"/>
          <w:sz w:val="24"/>
          <w:szCs w:val="24"/>
        </w:rPr>
        <w:t xml:space="preserve"> nums. 4 y 5 de la Ley 600 de 2000)</w:t>
      </w:r>
      <w:r w:rsidR="009344B2" w:rsidRPr="00FA3473">
        <w:rPr>
          <w:rFonts w:ascii="Bookman Old Style" w:hAnsi="Bookman Old Style"/>
        </w:rPr>
        <w:t xml:space="preserve"> </w:t>
      </w:r>
      <w:r w:rsidR="009344B2" w:rsidRPr="007A3826">
        <w:rPr>
          <w:rFonts w:ascii="Bookman Old Style" w:hAnsi="Bookman Old Style"/>
          <w:sz w:val="27"/>
          <w:szCs w:val="27"/>
        </w:rPr>
        <w:t xml:space="preserve">o la fijación legal de un </w:t>
      </w:r>
      <w:r w:rsidR="009344B2" w:rsidRPr="007A3826">
        <w:rPr>
          <w:rFonts w:ascii="Bookman Old Style" w:hAnsi="Bookman Old Style"/>
          <w:i/>
          <w:sz w:val="27"/>
          <w:szCs w:val="27"/>
        </w:rPr>
        <w:t>término máximo de vigencia de la detención preventiva</w:t>
      </w:r>
      <w:r w:rsidR="009344B2" w:rsidRPr="007A3826">
        <w:rPr>
          <w:rFonts w:ascii="Bookman Old Style" w:hAnsi="Bookman Old Style"/>
          <w:sz w:val="27"/>
          <w:szCs w:val="27"/>
        </w:rPr>
        <w:t>.</w:t>
      </w:r>
      <w:r w:rsidR="009344B2" w:rsidRPr="00FA3473">
        <w:rPr>
          <w:rFonts w:ascii="Bookman Old Style" w:hAnsi="Bookman Old Style"/>
        </w:rPr>
        <w:t xml:space="preserve"> </w:t>
      </w:r>
    </w:p>
    <w:p w:rsidR="00BE3931" w:rsidRDefault="00BE3931" w:rsidP="00727F29">
      <w:pPr>
        <w:spacing w:line="336" w:lineRule="auto"/>
        <w:ind w:firstLine="703"/>
        <w:jc w:val="both"/>
        <w:rPr>
          <w:rFonts w:ascii="Bookman Old Style" w:hAnsi="Bookman Old Style"/>
          <w:lang w:val="es-CO"/>
        </w:rPr>
      </w:pPr>
    </w:p>
    <w:p w:rsidR="0042526C" w:rsidRPr="00FA3473" w:rsidRDefault="00275D49" w:rsidP="00727F29">
      <w:pPr>
        <w:spacing w:line="336" w:lineRule="auto"/>
        <w:ind w:firstLine="703"/>
        <w:jc w:val="both"/>
        <w:rPr>
          <w:rFonts w:ascii="Bookman Old Style" w:hAnsi="Bookman Old Style"/>
          <w:b/>
          <w:sz w:val="25"/>
          <w:szCs w:val="25"/>
          <w:lang w:val="es-CO"/>
        </w:rPr>
      </w:pPr>
      <w:r w:rsidRPr="00FA3473">
        <w:rPr>
          <w:rFonts w:ascii="Bookman Old Style" w:hAnsi="Bookman Old Style"/>
          <w:b/>
          <w:sz w:val="25"/>
          <w:szCs w:val="25"/>
          <w:lang w:val="es-CO"/>
        </w:rPr>
        <w:t>3.1</w:t>
      </w:r>
      <w:r w:rsidR="009344B2" w:rsidRPr="00FA3473">
        <w:rPr>
          <w:rFonts w:ascii="Bookman Old Style" w:hAnsi="Bookman Old Style"/>
          <w:b/>
          <w:sz w:val="25"/>
          <w:szCs w:val="25"/>
          <w:lang w:val="es-CO"/>
        </w:rPr>
        <w:t>.2 Fijación legal de un plazo máximo de vigencia de la detención preventiva</w:t>
      </w:r>
    </w:p>
    <w:p w:rsidR="00BE3931" w:rsidRPr="00FA3473" w:rsidRDefault="00BE3931" w:rsidP="00727F29">
      <w:pPr>
        <w:spacing w:line="336" w:lineRule="auto"/>
        <w:ind w:firstLine="703"/>
        <w:jc w:val="both"/>
        <w:rPr>
          <w:rFonts w:ascii="Bookman Old Style" w:hAnsi="Bookman Old Style"/>
          <w:lang w:val="es-CO"/>
        </w:rPr>
      </w:pPr>
    </w:p>
    <w:p w:rsidR="00260C5A" w:rsidRPr="00FA3473" w:rsidRDefault="00791074" w:rsidP="00727F29">
      <w:pPr>
        <w:spacing w:line="336" w:lineRule="auto"/>
        <w:ind w:firstLine="703"/>
        <w:jc w:val="both"/>
        <w:rPr>
          <w:rFonts w:ascii="Bookman Old Style" w:hAnsi="Bookman Old Style"/>
          <w:sz w:val="27"/>
          <w:szCs w:val="27"/>
        </w:rPr>
      </w:pPr>
      <w:r w:rsidRPr="00FA3473">
        <w:rPr>
          <w:rFonts w:ascii="Bookman Old Style" w:hAnsi="Bookman Old Style"/>
          <w:sz w:val="27"/>
          <w:szCs w:val="27"/>
        </w:rPr>
        <w:t>A</w:t>
      </w:r>
      <w:r w:rsidR="00260C5A" w:rsidRPr="00FA3473">
        <w:rPr>
          <w:rFonts w:ascii="Bookman Old Style" w:hAnsi="Bookman Old Style"/>
          <w:sz w:val="27"/>
          <w:szCs w:val="27"/>
        </w:rPr>
        <w:t xml:space="preserve"> la detención provisional se le ha dado el tratamiento de medida </w:t>
      </w:r>
      <w:r w:rsidR="00260C5A" w:rsidRPr="00FA3473">
        <w:rPr>
          <w:rFonts w:ascii="Bookman Old Style" w:hAnsi="Bookman Old Style"/>
          <w:i/>
          <w:sz w:val="27"/>
          <w:szCs w:val="27"/>
        </w:rPr>
        <w:t>cautelar</w:t>
      </w:r>
      <w:r w:rsidR="00260C5A" w:rsidRPr="00FA3473">
        <w:rPr>
          <w:rFonts w:ascii="Bookman Old Style" w:hAnsi="Bookman Old Style"/>
          <w:sz w:val="27"/>
          <w:szCs w:val="27"/>
        </w:rPr>
        <w:t xml:space="preserve"> de naturaleza personal, adjudicándosele, por una parte, la función de aseguramiento del imputado, a manera de garantía de comparecencia al juicio y cumplimiento de una eventual condena; por otra, el fin de mantener la indemnidad del proceso a través de la conservación de los medios de prueba</w:t>
      </w:r>
      <w:r w:rsidR="00E976CD" w:rsidRPr="00FA3473">
        <w:rPr>
          <w:rFonts w:ascii="Bookman Old Style" w:hAnsi="Bookman Old Style"/>
          <w:sz w:val="27"/>
          <w:szCs w:val="27"/>
        </w:rPr>
        <w:t xml:space="preserve"> (cfr. art. 250-1 de la Constitución, art. </w:t>
      </w:r>
      <w:r w:rsidR="00540C7B" w:rsidRPr="00FA3473">
        <w:rPr>
          <w:rFonts w:ascii="Bookman Old Style" w:hAnsi="Bookman Old Style"/>
          <w:sz w:val="27"/>
          <w:szCs w:val="27"/>
        </w:rPr>
        <w:t>35</w:t>
      </w:r>
      <w:r w:rsidR="00E976CD" w:rsidRPr="00FA3473">
        <w:rPr>
          <w:rFonts w:ascii="Bookman Old Style" w:hAnsi="Bookman Old Style"/>
          <w:sz w:val="27"/>
          <w:szCs w:val="27"/>
        </w:rPr>
        <w:t xml:space="preserve">5 de la Ley 600 de 2000 y art. </w:t>
      </w:r>
      <w:r w:rsidR="00540C7B" w:rsidRPr="00FA3473">
        <w:rPr>
          <w:rFonts w:ascii="Bookman Old Style" w:hAnsi="Bookman Old Style"/>
          <w:sz w:val="27"/>
          <w:szCs w:val="27"/>
        </w:rPr>
        <w:t>296 de la Ley 906 de 2004)</w:t>
      </w:r>
      <w:r w:rsidR="00260C5A" w:rsidRPr="00FA3473">
        <w:rPr>
          <w:rFonts w:ascii="Bookman Old Style" w:hAnsi="Bookman Old Style"/>
          <w:sz w:val="27"/>
          <w:szCs w:val="27"/>
        </w:rPr>
        <w:t xml:space="preserve">. </w:t>
      </w:r>
      <w:r w:rsidR="000E1728">
        <w:rPr>
          <w:rFonts w:ascii="Bookman Old Style" w:hAnsi="Bookman Old Style"/>
          <w:sz w:val="27"/>
          <w:szCs w:val="27"/>
        </w:rPr>
        <w:t xml:space="preserve">Se trata </w:t>
      </w:r>
      <w:r w:rsidR="00260C5A" w:rsidRPr="00FA3473">
        <w:rPr>
          <w:rFonts w:ascii="Bookman Old Style" w:hAnsi="Bookman Old Style"/>
          <w:sz w:val="27"/>
          <w:szCs w:val="27"/>
        </w:rPr>
        <w:t xml:space="preserve">de precaver los riesgos de fuga y obstrucción probatoria, los cuales, incuestionablemente, conspiran contra el legítimo propósito de realizar debidamente el proceso penal, como </w:t>
      </w:r>
      <w:r w:rsidR="00ED0690">
        <w:rPr>
          <w:rFonts w:ascii="Bookman Old Style" w:hAnsi="Bookman Old Style"/>
          <w:sz w:val="27"/>
          <w:szCs w:val="27"/>
        </w:rPr>
        <w:t>inexorable vía del ejercicio de la pretensión punitiva estatal</w:t>
      </w:r>
      <w:r w:rsidR="00260C5A" w:rsidRPr="00FA3473">
        <w:rPr>
          <w:rFonts w:ascii="Bookman Old Style" w:hAnsi="Bookman Old Style"/>
          <w:sz w:val="27"/>
          <w:szCs w:val="27"/>
        </w:rPr>
        <w:t>.</w:t>
      </w:r>
      <w:r w:rsidR="000E1728">
        <w:rPr>
          <w:rFonts w:ascii="Bookman Old Style" w:hAnsi="Bookman Old Style"/>
          <w:sz w:val="27"/>
          <w:szCs w:val="27"/>
        </w:rPr>
        <w:t xml:space="preserve"> Así mismo, se le han asignado finalidades de protección a la comunidad, en especial a las víctimas.</w:t>
      </w:r>
    </w:p>
    <w:p w:rsidR="00260C5A" w:rsidRPr="00FA3473" w:rsidRDefault="00260C5A" w:rsidP="00727F29">
      <w:pPr>
        <w:spacing w:line="336" w:lineRule="auto"/>
        <w:ind w:firstLine="703"/>
        <w:jc w:val="both"/>
        <w:rPr>
          <w:rFonts w:ascii="Bookman Old Style" w:hAnsi="Bookman Old Style"/>
          <w:sz w:val="27"/>
          <w:szCs w:val="27"/>
        </w:rPr>
      </w:pPr>
    </w:p>
    <w:p w:rsidR="00260C5A" w:rsidRPr="00FA3473" w:rsidRDefault="00260C5A" w:rsidP="00727F29">
      <w:pPr>
        <w:spacing w:line="336" w:lineRule="auto"/>
        <w:ind w:firstLine="703"/>
        <w:jc w:val="both"/>
        <w:rPr>
          <w:rFonts w:ascii="Bookman Old Style" w:hAnsi="Bookman Old Style"/>
          <w:sz w:val="27"/>
          <w:szCs w:val="27"/>
        </w:rPr>
      </w:pPr>
      <w:r w:rsidRPr="00FA3473">
        <w:rPr>
          <w:rFonts w:ascii="Bookman Old Style" w:hAnsi="Bookman Old Style"/>
          <w:sz w:val="27"/>
          <w:szCs w:val="27"/>
        </w:rPr>
        <w:t xml:space="preserve">A ese respecto, en la sentencia C-425 de 2008, la Corte Constitucional puso de presente que la detención preventiva es una medida cautelar de tipo personal que </w:t>
      </w:r>
      <w:r w:rsidR="00E976CD" w:rsidRPr="00FA3473">
        <w:rPr>
          <w:rFonts w:ascii="Bookman Old Style" w:hAnsi="Bookman Old Style"/>
          <w:sz w:val="27"/>
          <w:szCs w:val="27"/>
        </w:rPr>
        <w:t>se adopta</w:t>
      </w:r>
      <w:r w:rsidRPr="00FA3473">
        <w:rPr>
          <w:rFonts w:ascii="Bookman Old Style" w:hAnsi="Bookman Old Style"/>
          <w:sz w:val="27"/>
          <w:szCs w:val="27"/>
        </w:rPr>
        <w:t xml:space="preserve"> en el curso de un proceso penal y consiste en la privación de la libertad de manera provisional, pues su objetivo es realizar los </w:t>
      </w:r>
      <w:r w:rsidRPr="00FA3473">
        <w:rPr>
          <w:rFonts w:ascii="Bookman Old Style" w:hAnsi="Bookman Old Style"/>
          <w:sz w:val="27"/>
          <w:szCs w:val="27"/>
        </w:rPr>
        <w:lastRenderedPageBreak/>
        <w:t>derechos y deberes constitucionales que, en sentido estricto, consisten en asegurar el cumplimiento de las decisiones que se adoptan en el proceso y garantizar la presencia del sindicado en el mismo para que sea</w:t>
      </w:r>
      <w:r w:rsidR="006A34AF" w:rsidRPr="00FA3473">
        <w:rPr>
          <w:rFonts w:ascii="Bookman Old Style" w:hAnsi="Bookman Old Style"/>
          <w:sz w:val="27"/>
          <w:szCs w:val="27"/>
        </w:rPr>
        <w:t xml:space="preserve">n más efectivos </w:t>
      </w:r>
      <w:r w:rsidRPr="00FA3473">
        <w:rPr>
          <w:rFonts w:ascii="Bookman Old Style" w:hAnsi="Bookman Old Style"/>
          <w:sz w:val="27"/>
          <w:szCs w:val="27"/>
        </w:rPr>
        <w:t>la investigación y el juzgamiento</w:t>
      </w:r>
      <w:r w:rsidR="006A34AF" w:rsidRPr="00FA3473">
        <w:rPr>
          <w:rFonts w:ascii="Bookman Old Style" w:hAnsi="Bookman Old Style"/>
          <w:sz w:val="27"/>
          <w:szCs w:val="27"/>
        </w:rPr>
        <w:t xml:space="preserve">, así como los </w:t>
      </w:r>
      <w:r w:rsidRPr="00FA3473">
        <w:rPr>
          <w:rFonts w:ascii="Bookman Old Style" w:hAnsi="Bookman Old Style"/>
          <w:sz w:val="27"/>
          <w:szCs w:val="27"/>
        </w:rPr>
        <w:t xml:space="preserve">derechos de las víctimas. </w:t>
      </w:r>
      <w:r w:rsidRPr="00FA3473">
        <w:rPr>
          <w:rFonts w:ascii="Bookman Old Style" w:hAnsi="Bookman Old Style"/>
          <w:i/>
          <w:sz w:val="27"/>
          <w:szCs w:val="27"/>
        </w:rPr>
        <w:t>Por su propia naturaleza, la detención preventiva, tiene</w:t>
      </w:r>
      <w:r w:rsidR="006A34AF" w:rsidRPr="00FA3473">
        <w:rPr>
          <w:rFonts w:ascii="Bookman Old Style" w:hAnsi="Bookman Old Style"/>
          <w:i/>
          <w:sz w:val="27"/>
          <w:szCs w:val="27"/>
        </w:rPr>
        <w:t xml:space="preserve">, entonces, </w:t>
      </w:r>
      <w:r w:rsidRPr="00FA3473">
        <w:rPr>
          <w:rFonts w:ascii="Bookman Old Style" w:hAnsi="Bookman Old Style"/>
          <w:i/>
          <w:sz w:val="27"/>
          <w:szCs w:val="27"/>
        </w:rPr>
        <w:t>una duración precaria o temporal porque su finalidad no es sancionatoria</w:t>
      </w:r>
      <w:r w:rsidR="00E976CD" w:rsidRPr="00FA3473">
        <w:rPr>
          <w:rFonts w:ascii="Bookman Old Style" w:hAnsi="Bookman Old Style"/>
          <w:sz w:val="27"/>
          <w:szCs w:val="27"/>
        </w:rPr>
        <w:t xml:space="preserve">, no está dirigida a resocializar, </w:t>
      </w:r>
      <w:r w:rsidRPr="00FA3473">
        <w:rPr>
          <w:rFonts w:ascii="Bookman Old Style" w:hAnsi="Bookman Old Style"/>
          <w:sz w:val="27"/>
          <w:szCs w:val="27"/>
        </w:rPr>
        <w:t xml:space="preserve">a prevenir el delito ni a ejemplarizar, sino que su finalidad es puramente procesal y </w:t>
      </w:r>
      <w:r w:rsidR="00094597">
        <w:rPr>
          <w:rFonts w:ascii="Bookman Old Style" w:hAnsi="Bookman Old Style"/>
          <w:sz w:val="27"/>
          <w:szCs w:val="27"/>
        </w:rPr>
        <w:t xml:space="preserve">tiende a </w:t>
      </w:r>
      <w:r w:rsidRPr="00FA3473">
        <w:rPr>
          <w:rFonts w:ascii="Bookman Old Style" w:hAnsi="Bookman Old Style"/>
          <w:sz w:val="27"/>
          <w:szCs w:val="27"/>
        </w:rPr>
        <w:t xml:space="preserve">asegurar el resultado exitoso del proceso penal. </w:t>
      </w:r>
    </w:p>
    <w:p w:rsidR="00E976CD" w:rsidRPr="00FA3473" w:rsidRDefault="00E976CD" w:rsidP="00727F29">
      <w:pPr>
        <w:spacing w:line="336" w:lineRule="auto"/>
        <w:ind w:firstLine="703"/>
        <w:jc w:val="both"/>
        <w:rPr>
          <w:rFonts w:ascii="Bookman Old Style" w:hAnsi="Bookman Old Style"/>
          <w:sz w:val="27"/>
          <w:szCs w:val="27"/>
        </w:rPr>
      </w:pPr>
    </w:p>
    <w:p w:rsidR="00540C7B" w:rsidRPr="00FA3473" w:rsidRDefault="00E976CD" w:rsidP="00727F29">
      <w:pPr>
        <w:spacing w:line="336" w:lineRule="auto"/>
        <w:ind w:firstLine="703"/>
        <w:jc w:val="both"/>
        <w:rPr>
          <w:rFonts w:ascii="Bookman Old Style" w:hAnsi="Bookman Old Style"/>
          <w:i/>
          <w:sz w:val="27"/>
          <w:szCs w:val="27"/>
        </w:rPr>
      </w:pPr>
      <w:r w:rsidRPr="00FA3473">
        <w:rPr>
          <w:rFonts w:ascii="Bookman Old Style" w:hAnsi="Bookman Old Style"/>
          <w:sz w:val="27"/>
          <w:szCs w:val="27"/>
        </w:rPr>
        <w:t xml:space="preserve">Bajo esa óptica, el legislador goza de libertad de configuración para determinar el término máximo de duración de las medidas de aseguramiento. </w:t>
      </w:r>
      <w:r w:rsidR="00540C7B" w:rsidRPr="00FA3473">
        <w:rPr>
          <w:rFonts w:ascii="Bookman Old Style" w:hAnsi="Bookman Old Style"/>
          <w:i/>
          <w:sz w:val="27"/>
          <w:szCs w:val="27"/>
        </w:rPr>
        <w:t>Al margen de las causales de libertad por vencimiento de términos, según el cumplimiento de las diversas etapas procesales</w:t>
      </w:r>
      <w:r w:rsidR="00540C7B" w:rsidRPr="00FA3473">
        <w:rPr>
          <w:rFonts w:ascii="Bookman Old Style" w:hAnsi="Bookman Old Style"/>
          <w:sz w:val="27"/>
          <w:szCs w:val="27"/>
        </w:rPr>
        <w:t xml:space="preserve"> (</w:t>
      </w:r>
      <w:r w:rsidR="00540C7B" w:rsidRPr="00FA3473">
        <w:rPr>
          <w:rFonts w:ascii="Bookman Old Style" w:hAnsi="Bookman Old Style"/>
          <w:sz w:val="25"/>
          <w:szCs w:val="25"/>
        </w:rPr>
        <w:t>art. 317 num</w:t>
      </w:r>
      <w:r w:rsidR="00A05FF3" w:rsidRPr="00FA3473">
        <w:rPr>
          <w:rFonts w:ascii="Bookman Old Style" w:hAnsi="Bookman Old Style"/>
          <w:sz w:val="25"/>
          <w:szCs w:val="25"/>
        </w:rPr>
        <w:t xml:space="preserve">s. 4 al 6 de la Ley 906 de 2004 y </w:t>
      </w:r>
      <w:r w:rsidR="00540C7B" w:rsidRPr="00FA3473">
        <w:rPr>
          <w:rFonts w:ascii="Bookman Old Style" w:hAnsi="Bookman Old Style"/>
          <w:sz w:val="25"/>
          <w:szCs w:val="25"/>
        </w:rPr>
        <w:t>art. 365 nums. 4 y 5 de la Ley 600 de 2000)</w:t>
      </w:r>
      <w:r w:rsidR="00540C7B" w:rsidRPr="00FA3473">
        <w:rPr>
          <w:rFonts w:ascii="Bookman Old Style" w:hAnsi="Bookman Old Style"/>
          <w:sz w:val="27"/>
          <w:szCs w:val="27"/>
        </w:rPr>
        <w:t xml:space="preserve">, </w:t>
      </w:r>
      <w:r w:rsidR="00EF7D6D" w:rsidRPr="00FA3473">
        <w:rPr>
          <w:rFonts w:ascii="Bookman Old Style" w:hAnsi="Bookman Old Style"/>
          <w:sz w:val="27"/>
          <w:szCs w:val="27"/>
        </w:rPr>
        <w:t xml:space="preserve">una norma que </w:t>
      </w:r>
      <w:r w:rsidR="00AD76C8" w:rsidRPr="00FA3473">
        <w:rPr>
          <w:rFonts w:ascii="Bookman Old Style" w:hAnsi="Bookman Old Style"/>
          <w:sz w:val="27"/>
          <w:szCs w:val="27"/>
        </w:rPr>
        <w:t>limite la vigencia temporal de la detención preventiva</w:t>
      </w:r>
      <w:r w:rsidR="00EF7D6D" w:rsidRPr="00FA3473">
        <w:rPr>
          <w:rFonts w:ascii="Bookman Old Style" w:hAnsi="Bookman Old Style"/>
          <w:sz w:val="27"/>
          <w:szCs w:val="27"/>
        </w:rPr>
        <w:t xml:space="preserve">, en acatamiento del mandato constitucional de prohibición de exceso, </w:t>
      </w:r>
      <w:r w:rsidR="00AD76C8" w:rsidRPr="00FA3473">
        <w:rPr>
          <w:rFonts w:ascii="Bookman Old Style" w:hAnsi="Bookman Old Style"/>
          <w:sz w:val="27"/>
          <w:szCs w:val="27"/>
        </w:rPr>
        <w:t xml:space="preserve">se echa de menos en la Ley 600 de 2000, así como en la redacción original de la Ley 906 de 2004. Antes bien, el art. 317 inc. 1º de esta última codificación, hasta las reformas de las Leyes 1453 y 1474 de 2011, expresamente preceptuaba que las medidas de aseguramiento tienen vigencia </w:t>
      </w:r>
      <w:r w:rsidR="00AD76C8" w:rsidRPr="00FA3473">
        <w:rPr>
          <w:rFonts w:ascii="Bookman Old Style" w:hAnsi="Bookman Old Style"/>
          <w:i/>
          <w:sz w:val="27"/>
          <w:szCs w:val="27"/>
        </w:rPr>
        <w:t xml:space="preserve">durante toda la actuación. </w:t>
      </w:r>
    </w:p>
    <w:p w:rsidR="00AD76C8" w:rsidRPr="00FA3473" w:rsidRDefault="00AD76C8" w:rsidP="00727F29">
      <w:pPr>
        <w:spacing w:line="336" w:lineRule="auto"/>
        <w:ind w:firstLine="703"/>
        <w:jc w:val="both"/>
        <w:rPr>
          <w:rFonts w:ascii="Bookman Old Style" w:hAnsi="Bookman Old Style"/>
          <w:i/>
          <w:sz w:val="27"/>
          <w:szCs w:val="27"/>
        </w:rPr>
      </w:pPr>
    </w:p>
    <w:p w:rsidR="00AD76C8" w:rsidRPr="00FA3473" w:rsidRDefault="00AD76C8" w:rsidP="00727F29">
      <w:pPr>
        <w:spacing w:line="336" w:lineRule="auto"/>
        <w:ind w:firstLine="703"/>
        <w:jc w:val="both"/>
        <w:rPr>
          <w:rFonts w:ascii="Bookman Old Style" w:hAnsi="Bookman Old Style"/>
          <w:sz w:val="27"/>
          <w:szCs w:val="27"/>
        </w:rPr>
      </w:pPr>
      <w:r w:rsidRPr="00FA3473">
        <w:rPr>
          <w:rFonts w:ascii="Bookman Old Style" w:hAnsi="Bookman Old Style"/>
          <w:sz w:val="27"/>
          <w:szCs w:val="27"/>
        </w:rPr>
        <w:t xml:space="preserve">Mas tal reglamentación abría la puerta a la indeterminación temporal de la vigencia máxima de la </w:t>
      </w:r>
      <w:r w:rsidRPr="00FA3473">
        <w:rPr>
          <w:rFonts w:ascii="Bookman Old Style" w:hAnsi="Bookman Old Style"/>
          <w:sz w:val="27"/>
          <w:szCs w:val="27"/>
        </w:rPr>
        <w:lastRenderedPageBreak/>
        <w:t xml:space="preserve">detención preventiva, con la consecuente vulneración de las exigencias propias del </w:t>
      </w:r>
      <w:r w:rsidRPr="00FA3473">
        <w:rPr>
          <w:rFonts w:ascii="Bookman Old Style" w:hAnsi="Bookman Old Style"/>
          <w:i/>
          <w:sz w:val="27"/>
          <w:szCs w:val="27"/>
        </w:rPr>
        <w:t>p</w:t>
      </w:r>
      <w:r w:rsidR="008034B3" w:rsidRPr="00FA3473">
        <w:rPr>
          <w:rFonts w:ascii="Bookman Old Style" w:hAnsi="Bookman Old Style"/>
          <w:i/>
          <w:sz w:val="27"/>
          <w:szCs w:val="27"/>
        </w:rPr>
        <w:t>lazo razonable</w:t>
      </w:r>
      <w:r w:rsidR="008034B3" w:rsidRPr="00FA3473">
        <w:rPr>
          <w:rFonts w:ascii="Bookman Old Style" w:hAnsi="Bookman Old Style"/>
          <w:sz w:val="27"/>
          <w:szCs w:val="27"/>
        </w:rPr>
        <w:t xml:space="preserve">. </w:t>
      </w:r>
    </w:p>
    <w:p w:rsidR="00E356CE" w:rsidRPr="00FA3473" w:rsidRDefault="00E356CE" w:rsidP="00727F29">
      <w:pPr>
        <w:spacing w:line="336" w:lineRule="auto"/>
        <w:ind w:firstLine="703"/>
        <w:jc w:val="both"/>
        <w:rPr>
          <w:rFonts w:ascii="Bookman Old Style" w:hAnsi="Bookman Old Style"/>
          <w:sz w:val="27"/>
          <w:szCs w:val="27"/>
        </w:rPr>
      </w:pPr>
    </w:p>
    <w:p w:rsidR="00E356CE" w:rsidRPr="00FA3473" w:rsidRDefault="00E356CE" w:rsidP="00727F29">
      <w:pPr>
        <w:spacing w:line="336" w:lineRule="auto"/>
        <w:ind w:firstLine="703"/>
        <w:jc w:val="both"/>
        <w:rPr>
          <w:rFonts w:ascii="Bookman Old Style" w:hAnsi="Bookman Old Style"/>
          <w:sz w:val="27"/>
          <w:szCs w:val="27"/>
        </w:rPr>
      </w:pPr>
      <w:r w:rsidRPr="00FA3473">
        <w:rPr>
          <w:rFonts w:ascii="Bookman Old Style" w:hAnsi="Bookman Old Style"/>
          <w:sz w:val="27"/>
          <w:szCs w:val="27"/>
        </w:rPr>
        <w:t xml:space="preserve">Consciente de tal vacío normativo, </w:t>
      </w:r>
      <w:r w:rsidR="00346422" w:rsidRPr="00FA3473">
        <w:rPr>
          <w:rFonts w:ascii="Bookman Old Style" w:hAnsi="Bookman Old Style"/>
          <w:sz w:val="27"/>
          <w:szCs w:val="27"/>
        </w:rPr>
        <w:t xml:space="preserve">mediante el art. 1º de la Ley 1760 del 6 de julio de 2015, </w:t>
      </w:r>
      <w:r w:rsidRPr="00FA3473">
        <w:rPr>
          <w:rFonts w:ascii="Bookman Old Style" w:hAnsi="Bookman Old Style"/>
          <w:sz w:val="27"/>
          <w:szCs w:val="27"/>
        </w:rPr>
        <w:t xml:space="preserve">el legislador estableció un </w:t>
      </w:r>
      <w:r w:rsidRPr="00FA3473">
        <w:rPr>
          <w:rFonts w:ascii="Bookman Old Style" w:hAnsi="Bookman Old Style"/>
          <w:i/>
          <w:sz w:val="27"/>
          <w:szCs w:val="27"/>
        </w:rPr>
        <w:t>término máximo de vigencia de la medida de aseguramiento de detención preventiva</w:t>
      </w:r>
      <w:r w:rsidRPr="00FA3473">
        <w:rPr>
          <w:rFonts w:ascii="Bookman Old Style" w:hAnsi="Bookman Old Style"/>
          <w:sz w:val="27"/>
          <w:szCs w:val="27"/>
        </w:rPr>
        <w:t xml:space="preserve">. </w:t>
      </w:r>
      <w:r w:rsidR="0035175D" w:rsidRPr="00FA3473">
        <w:rPr>
          <w:rFonts w:ascii="Bookman Old Style" w:hAnsi="Bookman Old Style"/>
          <w:sz w:val="27"/>
          <w:szCs w:val="27"/>
        </w:rPr>
        <w:t xml:space="preserve">Dicha norma, que nunca entró en vigencia porque fue subrogada por el art. 1º de la Ley 1786 del 1º de julio de 2016, </w:t>
      </w:r>
      <w:r w:rsidR="0035525F" w:rsidRPr="00FA3473">
        <w:rPr>
          <w:rFonts w:ascii="Bookman Old Style" w:hAnsi="Bookman Old Style"/>
          <w:sz w:val="27"/>
          <w:szCs w:val="27"/>
        </w:rPr>
        <w:t>disponía</w:t>
      </w:r>
      <w:r w:rsidR="0035175D" w:rsidRPr="00FA3473">
        <w:rPr>
          <w:rFonts w:ascii="Bookman Old Style" w:hAnsi="Bookman Old Style"/>
          <w:sz w:val="27"/>
          <w:szCs w:val="27"/>
        </w:rPr>
        <w:t xml:space="preserve"> que, salvo lo previsto en los parágrafos 2º y 3º del art. 317 de la Ley 906 de 2004, </w:t>
      </w:r>
      <w:r w:rsidR="0035175D" w:rsidRPr="00FA3473">
        <w:rPr>
          <w:rFonts w:ascii="Bookman Old Style" w:hAnsi="Bookman Old Style"/>
          <w:i/>
          <w:sz w:val="27"/>
          <w:szCs w:val="27"/>
        </w:rPr>
        <w:t xml:space="preserve">el término de las medidas de aseguramiento privativas de la libertad no podrá exceder de un año, </w:t>
      </w:r>
      <w:r w:rsidR="00746E84" w:rsidRPr="00FA3473">
        <w:rPr>
          <w:rFonts w:ascii="Bookman Old Style" w:hAnsi="Bookman Old Style"/>
          <w:sz w:val="27"/>
          <w:szCs w:val="27"/>
        </w:rPr>
        <w:t xml:space="preserve">prorrogable por un año más en determinados casos. </w:t>
      </w:r>
    </w:p>
    <w:p w:rsidR="00E40E37" w:rsidRPr="00FA3473" w:rsidRDefault="00E40E37" w:rsidP="00727F29">
      <w:pPr>
        <w:spacing w:line="336" w:lineRule="auto"/>
        <w:ind w:firstLine="703"/>
        <w:jc w:val="both"/>
        <w:rPr>
          <w:rFonts w:ascii="Bookman Old Style" w:hAnsi="Bookman Old Style"/>
          <w:sz w:val="27"/>
          <w:szCs w:val="27"/>
        </w:rPr>
      </w:pPr>
    </w:p>
    <w:p w:rsidR="00E40E37" w:rsidRPr="00FA3473" w:rsidRDefault="00F02BE0" w:rsidP="00727F29">
      <w:pPr>
        <w:spacing w:line="336" w:lineRule="auto"/>
        <w:ind w:firstLine="703"/>
        <w:jc w:val="both"/>
        <w:rPr>
          <w:rFonts w:ascii="Bookman Old Style" w:hAnsi="Bookman Old Style"/>
          <w:sz w:val="27"/>
          <w:szCs w:val="27"/>
        </w:rPr>
      </w:pPr>
      <w:r w:rsidRPr="00FA3473">
        <w:rPr>
          <w:rFonts w:ascii="Bookman Old Style" w:hAnsi="Bookman Old Style"/>
          <w:sz w:val="27"/>
          <w:szCs w:val="27"/>
        </w:rPr>
        <w:t xml:space="preserve">Con la entrada en vigor de </w:t>
      </w:r>
      <w:r w:rsidRPr="00FA3473">
        <w:rPr>
          <w:rFonts w:ascii="Bookman Old Style" w:hAnsi="Bookman Old Style"/>
          <w:i/>
          <w:sz w:val="27"/>
          <w:szCs w:val="27"/>
        </w:rPr>
        <w:t>los términos</w:t>
      </w:r>
      <w:r w:rsidRPr="00FA3473">
        <w:rPr>
          <w:rFonts w:ascii="Bookman Old Style" w:hAnsi="Bookman Old Style"/>
          <w:sz w:val="27"/>
          <w:szCs w:val="27"/>
        </w:rPr>
        <w:t xml:space="preserve"> previstos en el art. 1º de la Ley 1786 de 2016, a partir del 1º de julio de 2017 (según el art. 5º </w:t>
      </w:r>
      <w:r w:rsidRPr="00FA3473">
        <w:rPr>
          <w:rFonts w:ascii="Bookman Old Style" w:hAnsi="Bookman Old Style"/>
          <w:i/>
          <w:sz w:val="27"/>
          <w:szCs w:val="27"/>
        </w:rPr>
        <w:t>ídem</w:t>
      </w:r>
      <w:r w:rsidRPr="00FA3473">
        <w:rPr>
          <w:rFonts w:ascii="Bookman Old Style" w:hAnsi="Bookman Old Style"/>
          <w:sz w:val="27"/>
          <w:szCs w:val="27"/>
        </w:rPr>
        <w:t>), es dable afirmar que en Colombia, salvo lo previsto en los parágrafos 2º y 3º del art. 317 de la Ley 906 de 2004, “</w:t>
      </w:r>
      <w:r w:rsidRPr="00FA3473">
        <w:rPr>
          <w:rFonts w:ascii="Bookman Old Style" w:hAnsi="Bookman Old Style"/>
          <w:i/>
          <w:sz w:val="26"/>
          <w:szCs w:val="26"/>
        </w:rPr>
        <w:t xml:space="preserve">el término de las medidas de aseguramiento privativas de la libertad </w:t>
      </w:r>
      <w:r w:rsidRPr="00FA3473">
        <w:rPr>
          <w:rFonts w:ascii="Bookman Old Style" w:hAnsi="Bookman Old Style"/>
          <w:b/>
          <w:i/>
          <w:sz w:val="26"/>
          <w:szCs w:val="26"/>
        </w:rPr>
        <w:t>no podrá exceder de un año</w:t>
      </w:r>
      <w:r w:rsidRPr="00FA3473">
        <w:rPr>
          <w:rFonts w:ascii="Bookman Old Style" w:hAnsi="Bookman Old Style"/>
          <w:i/>
          <w:sz w:val="26"/>
          <w:szCs w:val="26"/>
        </w:rPr>
        <w:t xml:space="preserve">. Cuando el proceso se surta ante la justicia penal especializada, o sean tres o más los acusados contra quienes estuviere vigente la detención preventiva, o se trate de investigación o juicio de actos de corrupción de los que trata la Ley 1474 de 2011 o de cualquiera de las conductas previstas en el Título IV del Libro Segundo del C.P., </w:t>
      </w:r>
      <w:r w:rsidRPr="00FA3473">
        <w:rPr>
          <w:rFonts w:ascii="Bookman Old Style" w:hAnsi="Bookman Old Style"/>
          <w:b/>
          <w:i/>
          <w:sz w:val="26"/>
          <w:szCs w:val="26"/>
        </w:rPr>
        <w:t>dicho término podrá prorrogarse, a solicitud del fiscal o del apoderado de la víctima, hasta por el mismo término inicial</w:t>
      </w:r>
      <w:r w:rsidRPr="00FA3473">
        <w:rPr>
          <w:rFonts w:ascii="Bookman Old Style" w:hAnsi="Bookman Old Style"/>
          <w:i/>
          <w:sz w:val="26"/>
          <w:szCs w:val="26"/>
        </w:rPr>
        <w:t xml:space="preserve">. Vencido el término, el juez de control de garantías, a petición de la Fiscalía, de la defensa o del </w:t>
      </w:r>
      <w:r w:rsidRPr="00FA3473">
        <w:rPr>
          <w:rFonts w:ascii="Bookman Old Style" w:hAnsi="Bookman Old Style"/>
          <w:i/>
          <w:sz w:val="26"/>
          <w:szCs w:val="26"/>
        </w:rPr>
        <w:lastRenderedPageBreak/>
        <w:t>apoderado de la víctima podrá sustituir la medida de aseguramiento privativa de la libertad de que se trate, por otra u otras medidas de aseguramiento no privativas de la libertad de que trata el presente artículo</w:t>
      </w:r>
      <w:r w:rsidRPr="00FA3473">
        <w:rPr>
          <w:rFonts w:ascii="Bookman Old Style" w:hAnsi="Bookman Old Style"/>
          <w:sz w:val="27"/>
          <w:szCs w:val="27"/>
        </w:rPr>
        <w:t xml:space="preserve">”. </w:t>
      </w:r>
    </w:p>
    <w:p w:rsidR="00321E61" w:rsidRPr="00FA3473" w:rsidRDefault="00321E61" w:rsidP="00727F29">
      <w:pPr>
        <w:spacing w:line="336" w:lineRule="auto"/>
        <w:ind w:firstLine="703"/>
        <w:jc w:val="both"/>
        <w:rPr>
          <w:rFonts w:ascii="Bookman Old Style" w:hAnsi="Bookman Old Style"/>
          <w:sz w:val="27"/>
          <w:szCs w:val="27"/>
        </w:rPr>
      </w:pPr>
    </w:p>
    <w:p w:rsidR="003D6855" w:rsidRDefault="00321E61" w:rsidP="00727F29">
      <w:pPr>
        <w:spacing w:line="336" w:lineRule="auto"/>
        <w:ind w:firstLine="703"/>
        <w:jc w:val="both"/>
        <w:rPr>
          <w:rFonts w:ascii="Bookman Old Style" w:hAnsi="Bookman Old Style"/>
          <w:sz w:val="27"/>
          <w:szCs w:val="27"/>
        </w:rPr>
      </w:pPr>
      <w:r w:rsidRPr="00FA3473">
        <w:rPr>
          <w:rFonts w:ascii="Bookman Old Style" w:hAnsi="Bookman Old Style"/>
          <w:sz w:val="27"/>
          <w:szCs w:val="27"/>
        </w:rPr>
        <w:tab/>
        <w:t xml:space="preserve">Como lo destacó la Corte Constitucional en la sentencia C-221 de 2017, el propósito de la norma fue el de reforzar el uso excepcional de la medida de aseguramiento en el proceso penal, mediante introducción de límites materiales a la imposición de la prisión preventiva y </w:t>
      </w:r>
      <w:r w:rsidRPr="00FA3473">
        <w:rPr>
          <w:rFonts w:ascii="Bookman Old Style" w:hAnsi="Bookman Old Style"/>
          <w:i/>
          <w:sz w:val="27"/>
          <w:szCs w:val="27"/>
        </w:rPr>
        <w:t>la fijación de términos máximos de duración</w:t>
      </w:r>
      <w:r w:rsidRPr="00FA3473">
        <w:rPr>
          <w:rFonts w:ascii="Bookman Old Style" w:hAnsi="Bookman Old Style"/>
          <w:sz w:val="27"/>
          <w:szCs w:val="27"/>
        </w:rPr>
        <w:t>, tanto en cada una de las fases del proceso</w:t>
      </w:r>
      <w:r w:rsidR="005312FC" w:rsidRPr="00FA3473">
        <w:rPr>
          <w:rFonts w:ascii="Bookman Old Style" w:hAnsi="Bookman Old Style"/>
          <w:sz w:val="27"/>
          <w:szCs w:val="27"/>
        </w:rPr>
        <w:t xml:space="preserve"> (art. 317 nums. 4 al 6 de la Ley 906 de 2004)</w:t>
      </w:r>
      <w:r w:rsidRPr="00FA3473">
        <w:rPr>
          <w:rFonts w:ascii="Bookman Old Style" w:hAnsi="Bookman Old Style"/>
          <w:sz w:val="27"/>
          <w:szCs w:val="27"/>
        </w:rPr>
        <w:t xml:space="preserve">, como </w:t>
      </w:r>
      <w:r w:rsidRPr="00FA3473">
        <w:rPr>
          <w:rFonts w:ascii="Bookman Old Style" w:hAnsi="Bookman Old Style"/>
          <w:i/>
          <w:sz w:val="27"/>
          <w:szCs w:val="27"/>
        </w:rPr>
        <w:t>en general para todo el trámite</w:t>
      </w:r>
      <w:r w:rsidRPr="00FA3473">
        <w:rPr>
          <w:rFonts w:ascii="Bookman Old Style" w:hAnsi="Bookman Old Style"/>
          <w:sz w:val="27"/>
          <w:szCs w:val="27"/>
        </w:rPr>
        <w:t xml:space="preserve">. </w:t>
      </w:r>
      <w:r w:rsidR="008C0A7E" w:rsidRPr="00FA3473">
        <w:rPr>
          <w:rFonts w:ascii="Bookman Old Style" w:hAnsi="Bookman Old Style"/>
          <w:sz w:val="27"/>
          <w:szCs w:val="27"/>
        </w:rPr>
        <w:t>Sobre el particular, en la mencionada decisión se adujo que:</w:t>
      </w:r>
    </w:p>
    <w:p w:rsidR="00752C99" w:rsidRPr="00FA3473" w:rsidRDefault="008C0A7E" w:rsidP="00727F29">
      <w:pPr>
        <w:spacing w:line="336" w:lineRule="auto"/>
        <w:ind w:firstLine="703"/>
        <w:jc w:val="both"/>
        <w:rPr>
          <w:rFonts w:ascii="Bookman Old Style" w:hAnsi="Bookman Old Style"/>
          <w:sz w:val="27"/>
          <w:szCs w:val="27"/>
        </w:rPr>
      </w:pPr>
      <w:r w:rsidRPr="00FA3473">
        <w:rPr>
          <w:rFonts w:ascii="Bookman Old Style" w:hAnsi="Bookman Old Style"/>
          <w:sz w:val="27"/>
          <w:szCs w:val="27"/>
        </w:rPr>
        <w:t xml:space="preserve"> </w:t>
      </w:r>
    </w:p>
    <w:p w:rsidR="008C0A7E" w:rsidRPr="00AF1187" w:rsidRDefault="008C0A7E" w:rsidP="008C0A7E">
      <w:pPr>
        <w:ind w:left="851" w:right="616"/>
        <w:jc w:val="both"/>
        <w:rPr>
          <w:rFonts w:ascii="Bookman Old Style" w:hAnsi="Bookman Old Style"/>
          <w:sz w:val="25"/>
          <w:szCs w:val="25"/>
        </w:rPr>
      </w:pPr>
      <w:r w:rsidRPr="00AF1187">
        <w:rPr>
          <w:rFonts w:ascii="Bookman Old Style" w:hAnsi="Bookman Old Style"/>
          <w:sz w:val="25"/>
          <w:szCs w:val="25"/>
        </w:rPr>
        <w:t>14</w:t>
      </w:r>
      <w:r w:rsidR="001350EC">
        <w:rPr>
          <w:rFonts w:ascii="Bookman Old Style" w:hAnsi="Bookman Old Style"/>
          <w:sz w:val="25"/>
          <w:szCs w:val="25"/>
        </w:rPr>
        <w:t>[</w:t>
      </w:r>
      <w:r w:rsidRPr="00AF1187">
        <w:rPr>
          <w:rFonts w:ascii="Bookman Old Style" w:hAnsi="Bookman Old Style"/>
          <w:sz w:val="25"/>
          <w:szCs w:val="25"/>
        </w:rPr>
        <w:t>…</w:t>
      </w:r>
      <w:r w:rsidR="003D6855">
        <w:rPr>
          <w:rFonts w:ascii="Bookman Old Style" w:hAnsi="Bookman Old Style"/>
          <w:sz w:val="25"/>
          <w:szCs w:val="25"/>
        </w:rPr>
        <w:t>]</w:t>
      </w:r>
      <w:r w:rsidR="003D6855" w:rsidRPr="00AF1187">
        <w:rPr>
          <w:rFonts w:ascii="Bookman Old Style" w:hAnsi="Bookman Old Style"/>
          <w:sz w:val="25"/>
          <w:szCs w:val="25"/>
        </w:rPr>
        <w:t xml:space="preserve"> en</w:t>
      </w:r>
      <w:r w:rsidRPr="00AF1187">
        <w:rPr>
          <w:rFonts w:ascii="Bookman Old Style" w:hAnsi="Bookman Old Style"/>
          <w:sz w:val="25"/>
          <w:szCs w:val="25"/>
        </w:rPr>
        <w:t xml:space="preserve"> la reforma de la Ley 1760 de 2015 resultaron notables dos regulaciones, antes inexistentes en el Código de Procedimiento Penal: 1) </w:t>
      </w:r>
      <w:r w:rsidRPr="00AF1187">
        <w:rPr>
          <w:rFonts w:ascii="Bookman Old Style" w:hAnsi="Bookman Old Style"/>
          <w:b/>
          <w:i/>
          <w:sz w:val="25"/>
          <w:szCs w:val="25"/>
        </w:rPr>
        <w:t>la introducción un término máximo de duración de las medidas de aseguramiento privativas de la libertad</w:t>
      </w:r>
      <w:r w:rsidRPr="00AF1187">
        <w:rPr>
          <w:rFonts w:ascii="Bookman Old Style" w:hAnsi="Bookman Old Style"/>
          <w:sz w:val="25"/>
          <w:szCs w:val="25"/>
        </w:rPr>
        <w:t xml:space="preserve">. El legislador incorporó al régimen de libertades una garantía en función del debido proceso sin dilaciones injustificadas, de acuerdo con la cual, si el procesado cumplía un (1) año en prisión preventiva debía ser puesto en libertad, salvo en los procesos adelantados ante la justicia penal especializada, contra 3 o más procesados afectados por detención preventiva  o por actos de corrupción de los que trata la Ley 1474 de 2011, casos en los cuales dicho terminó se duplicaba; 2) la incorporación de una nueva causal de libertad para el acusado, vinculada al tiempo transcurrido desde el inicio del juicio oral hasta la celebración de la audiencia de lectura de fallo, plazo que fue fijado en 150 días. Esto, una vez más, salvo en los procesos adelantados ante la justicia penal especializada, contra 3 o más procesados o por actos de corrupción de los </w:t>
      </w:r>
      <w:r w:rsidRPr="00AF1187">
        <w:rPr>
          <w:rFonts w:ascii="Bookman Old Style" w:hAnsi="Bookman Old Style"/>
          <w:sz w:val="25"/>
          <w:szCs w:val="25"/>
        </w:rPr>
        <w:lastRenderedPageBreak/>
        <w:t xml:space="preserve">que trata la Ley 1474 de 2011, en cuyos casos el término se duplicaba. </w:t>
      </w:r>
    </w:p>
    <w:p w:rsidR="008C0A7E" w:rsidRPr="00AF1187" w:rsidRDefault="008C0A7E" w:rsidP="008C0A7E">
      <w:pPr>
        <w:ind w:left="851" w:right="616"/>
        <w:jc w:val="both"/>
        <w:rPr>
          <w:rFonts w:ascii="Bookman Old Style" w:hAnsi="Bookman Old Style"/>
          <w:sz w:val="25"/>
          <w:szCs w:val="25"/>
        </w:rPr>
      </w:pPr>
    </w:p>
    <w:p w:rsidR="008C0A7E" w:rsidRDefault="008C0A7E" w:rsidP="008C0A7E">
      <w:pPr>
        <w:ind w:left="851" w:right="616"/>
        <w:jc w:val="both"/>
        <w:rPr>
          <w:rFonts w:ascii="Bookman Old Style" w:hAnsi="Bookman Old Style"/>
          <w:sz w:val="25"/>
          <w:szCs w:val="25"/>
        </w:rPr>
      </w:pPr>
      <w:r w:rsidRPr="00AF1187">
        <w:rPr>
          <w:rFonts w:ascii="Bookman Old Style" w:hAnsi="Bookman Old Style"/>
          <w:sz w:val="25"/>
          <w:szCs w:val="25"/>
        </w:rPr>
        <w:t>15. El ar</w:t>
      </w:r>
      <w:r w:rsidR="00017FD5" w:rsidRPr="00AF1187">
        <w:rPr>
          <w:rFonts w:ascii="Bookman Old Style" w:hAnsi="Bookman Old Style"/>
          <w:sz w:val="25"/>
          <w:szCs w:val="25"/>
        </w:rPr>
        <w:t>t.</w:t>
      </w:r>
      <w:r w:rsidRPr="00AF1187">
        <w:rPr>
          <w:rFonts w:ascii="Bookman Old Style" w:hAnsi="Bookman Old Style"/>
          <w:sz w:val="25"/>
          <w:szCs w:val="25"/>
        </w:rPr>
        <w:t xml:space="preserve"> 5</w:t>
      </w:r>
      <w:r w:rsidR="00017FD5" w:rsidRPr="00AF1187">
        <w:rPr>
          <w:rFonts w:ascii="Bookman Old Style" w:hAnsi="Bookman Old Style"/>
          <w:sz w:val="25"/>
          <w:szCs w:val="25"/>
        </w:rPr>
        <w:t>º</w:t>
      </w:r>
      <w:r w:rsidRPr="00AF1187">
        <w:rPr>
          <w:rFonts w:ascii="Bookman Old Style" w:hAnsi="Bookman Old Style"/>
          <w:sz w:val="25"/>
          <w:szCs w:val="25"/>
        </w:rPr>
        <w:t xml:space="preserve"> de la misma Ley 1760 de 2015, sin embargo, postergó la entrada en vigencia, específicamente, de las dos anteriores reformas, por el término de un año luego de su promulgación. Esta norma de vigencia traía como consecuencia que, en tanto la Ley fue promulgada el 6 de julio de 2015, dichas disposiciones entrarían en vigencia el 6 de julio de 2016. Pese a esto, antes de que se cumpliera esa fecha, el 1º de julio de 2016, el Congreso promulgó la Ley 1786, demandada en este asunto, que subrogó varios artículos de la Ley 1760 de 2015 y, concretamente, las dos reglas analizadas en precedencia</w:t>
      </w:r>
      <w:r w:rsidRPr="00AF1187">
        <w:rPr>
          <w:rStyle w:val="Refdenotaalpie"/>
          <w:rFonts w:ascii="Bookman Old Style" w:hAnsi="Bookman Old Style"/>
          <w:sz w:val="25"/>
          <w:szCs w:val="25"/>
        </w:rPr>
        <w:footnoteReference w:id="13"/>
      </w:r>
      <w:r w:rsidRPr="00AF1187">
        <w:rPr>
          <w:rFonts w:ascii="Bookman Old Style" w:hAnsi="Bookman Old Style"/>
          <w:sz w:val="25"/>
          <w:szCs w:val="25"/>
        </w:rPr>
        <w:t>.</w:t>
      </w:r>
    </w:p>
    <w:p w:rsidR="003D6855" w:rsidRDefault="003D6855" w:rsidP="008C0A7E">
      <w:pPr>
        <w:ind w:left="851" w:right="616"/>
        <w:jc w:val="both"/>
        <w:rPr>
          <w:rFonts w:ascii="Bookman Old Style" w:hAnsi="Bookman Old Style"/>
          <w:sz w:val="25"/>
          <w:szCs w:val="25"/>
        </w:rPr>
      </w:pPr>
    </w:p>
    <w:p w:rsidR="00752C99" w:rsidRPr="00FA3473" w:rsidRDefault="00017FD5" w:rsidP="00727F29">
      <w:pPr>
        <w:spacing w:line="336" w:lineRule="auto"/>
        <w:ind w:firstLine="851"/>
        <w:jc w:val="both"/>
        <w:rPr>
          <w:rFonts w:ascii="Bookman Old Style" w:hAnsi="Bookman Old Style"/>
          <w:i/>
          <w:sz w:val="27"/>
          <w:szCs w:val="27"/>
        </w:rPr>
      </w:pPr>
      <w:r w:rsidRPr="00FA3473">
        <w:rPr>
          <w:rFonts w:ascii="Bookman Old Style" w:hAnsi="Bookman Old Style"/>
          <w:sz w:val="27"/>
          <w:szCs w:val="27"/>
        </w:rPr>
        <w:t>Esa subrogación tuvo lugar mediante el art. 5º inc. 2º de la Ley 1786 de</w:t>
      </w:r>
      <w:r w:rsidR="00605C56">
        <w:rPr>
          <w:rFonts w:ascii="Bookman Old Style" w:hAnsi="Bookman Old Style"/>
          <w:sz w:val="27"/>
          <w:szCs w:val="27"/>
        </w:rPr>
        <w:t>l 1º de julio de</w:t>
      </w:r>
      <w:r w:rsidRPr="00FA3473">
        <w:rPr>
          <w:rFonts w:ascii="Bookman Old Style" w:hAnsi="Bookman Old Style"/>
          <w:sz w:val="27"/>
          <w:szCs w:val="27"/>
        </w:rPr>
        <w:t xml:space="preserve"> 2016, conforme al cual “</w:t>
      </w:r>
      <w:r w:rsidRPr="00FA3473">
        <w:rPr>
          <w:rFonts w:ascii="Bookman Old Style" w:hAnsi="Bookman Old Style"/>
          <w:i/>
          <w:sz w:val="26"/>
          <w:szCs w:val="26"/>
        </w:rPr>
        <w:t>los términos a los que hacen referencia el art. 1º (vigencia máxima de la medida de aseguramiento) y num. 6º del art. 2º (causal de libertad por vencimiento de términos entre el inicio del juicio y la emisión del sentido del fallo) de la presente ley, respecto de procesos ante justicia penal especializada, en los que sean tres o más los acusados contra quienes estuviere vigente la detención preventiva, o cuando se trate de investigación o juicio de actos de corrupción de los que trata la Ley 1474 de 2011 o de cualquiera de las conductas previstas en el Título IV del Libro Segundo del C.P., entrarán a regir en un año contado a partir de la fecha de su promulgación</w:t>
      </w:r>
      <w:r w:rsidRPr="00FA3473">
        <w:rPr>
          <w:rFonts w:ascii="Bookman Old Style" w:hAnsi="Bookman Old Style"/>
          <w:i/>
          <w:sz w:val="27"/>
          <w:szCs w:val="27"/>
        </w:rPr>
        <w:t xml:space="preserve">”. </w:t>
      </w:r>
    </w:p>
    <w:p w:rsidR="00AB377F" w:rsidRDefault="00275D49" w:rsidP="00727F29">
      <w:pPr>
        <w:spacing w:line="336" w:lineRule="auto"/>
        <w:ind w:firstLine="705"/>
        <w:jc w:val="both"/>
        <w:rPr>
          <w:rFonts w:ascii="Bookman Old Style" w:hAnsi="Bookman Old Style"/>
          <w:b/>
          <w:sz w:val="25"/>
          <w:szCs w:val="25"/>
          <w:lang w:val="es-CO"/>
        </w:rPr>
      </w:pPr>
      <w:r w:rsidRPr="00FA3473">
        <w:rPr>
          <w:rFonts w:ascii="Bookman Old Style" w:hAnsi="Bookman Old Style"/>
          <w:b/>
          <w:sz w:val="25"/>
          <w:szCs w:val="25"/>
        </w:rPr>
        <w:lastRenderedPageBreak/>
        <w:t>3.1</w:t>
      </w:r>
      <w:r w:rsidR="00AB377F" w:rsidRPr="00FA3473">
        <w:rPr>
          <w:rFonts w:ascii="Bookman Old Style" w:hAnsi="Bookman Old Style"/>
          <w:b/>
          <w:sz w:val="25"/>
          <w:szCs w:val="25"/>
          <w:lang w:val="es-CO"/>
        </w:rPr>
        <w:t>.3 Situaciones en las que se aplica el término máximo de vigencia de la detención preventiva</w:t>
      </w:r>
    </w:p>
    <w:p w:rsidR="001350EC" w:rsidRDefault="001350EC" w:rsidP="00727F29">
      <w:pPr>
        <w:spacing w:line="336" w:lineRule="auto"/>
        <w:ind w:firstLine="705"/>
        <w:jc w:val="both"/>
        <w:rPr>
          <w:rFonts w:ascii="Bookman Old Style" w:hAnsi="Bookman Old Style"/>
          <w:b/>
          <w:sz w:val="25"/>
          <w:szCs w:val="25"/>
          <w:lang w:val="es-CO"/>
        </w:rPr>
      </w:pPr>
    </w:p>
    <w:p w:rsidR="001350EC" w:rsidRPr="001350EC" w:rsidRDefault="001350EC" w:rsidP="00727F29">
      <w:pPr>
        <w:spacing w:line="336" w:lineRule="auto"/>
        <w:ind w:firstLine="705"/>
        <w:jc w:val="both"/>
        <w:rPr>
          <w:rFonts w:ascii="Bookman Old Style" w:hAnsi="Bookman Old Style"/>
          <w:b/>
          <w:sz w:val="25"/>
          <w:szCs w:val="25"/>
          <w:lang w:val="es-CO"/>
        </w:rPr>
      </w:pPr>
      <w:r w:rsidRPr="001350EC">
        <w:rPr>
          <w:rFonts w:ascii="Bookman Old Style" w:hAnsi="Bookman Old Style"/>
          <w:b/>
          <w:sz w:val="25"/>
          <w:szCs w:val="25"/>
          <w:lang w:val="es-CO"/>
        </w:rPr>
        <w:t xml:space="preserve">3.1.3.1 Referente </w:t>
      </w:r>
      <w:r w:rsidRPr="00FB5843">
        <w:rPr>
          <w:rFonts w:ascii="Bookman Old Style" w:hAnsi="Bookman Old Style"/>
          <w:b/>
          <w:i/>
          <w:sz w:val="25"/>
          <w:szCs w:val="25"/>
          <w:lang w:val="es-CO"/>
        </w:rPr>
        <w:t>inicial</w:t>
      </w:r>
      <w:r w:rsidRPr="001350EC">
        <w:rPr>
          <w:rFonts w:ascii="Bookman Old Style" w:hAnsi="Bookman Old Style"/>
          <w:b/>
          <w:sz w:val="25"/>
          <w:szCs w:val="25"/>
          <w:lang w:val="es-CO"/>
        </w:rPr>
        <w:t xml:space="preserve"> de contabilización del plazo</w:t>
      </w:r>
    </w:p>
    <w:p w:rsidR="00017FD5" w:rsidRPr="00FA3473" w:rsidRDefault="00017FD5" w:rsidP="00727F29">
      <w:pPr>
        <w:spacing w:line="336" w:lineRule="auto"/>
        <w:ind w:firstLine="851"/>
        <w:jc w:val="both"/>
        <w:rPr>
          <w:rFonts w:ascii="Bookman Old Style" w:hAnsi="Bookman Old Style"/>
          <w:sz w:val="27"/>
          <w:szCs w:val="27"/>
        </w:rPr>
      </w:pPr>
    </w:p>
    <w:p w:rsidR="001350EC" w:rsidRDefault="00AB377F" w:rsidP="00727F29">
      <w:pPr>
        <w:spacing w:line="336" w:lineRule="auto"/>
        <w:ind w:firstLine="851"/>
        <w:jc w:val="both"/>
        <w:rPr>
          <w:rFonts w:ascii="Bookman Old Style" w:hAnsi="Bookman Old Style"/>
          <w:sz w:val="27"/>
          <w:szCs w:val="27"/>
        </w:rPr>
      </w:pPr>
      <w:r w:rsidRPr="00FA3473">
        <w:rPr>
          <w:rFonts w:ascii="Bookman Old Style" w:hAnsi="Bookman Old Style"/>
          <w:sz w:val="27"/>
          <w:szCs w:val="27"/>
        </w:rPr>
        <w:t>C</w:t>
      </w:r>
      <w:r w:rsidR="005E2B2F" w:rsidRPr="00FA3473">
        <w:rPr>
          <w:rFonts w:ascii="Bookman Old Style" w:hAnsi="Bookman Old Style"/>
          <w:sz w:val="27"/>
          <w:szCs w:val="27"/>
        </w:rPr>
        <w:t>abe precisar que ese límite máximo de duración de la detención preventiva</w:t>
      </w:r>
      <w:r w:rsidRPr="00FA3473">
        <w:rPr>
          <w:rFonts w:ascii="Bookman Old Style" w:hAnsi="Bookman Old Style"/>
          <w:sz w:val="27"/>
          <w:szCs w:val="27"/>
        </w:rPr>
        <w:t>, incorporado al ordenamiento jurídico mediante el art. 1º de la Ley 1786 de 2016,</w:t>
      </w:r>
      <w:r w:rsidR="005E2B2F" w:rsidRPr="00FA3473">
        <w:rPr>
          <w:rFonts w:ascii="Bookman Old Style" w:hAnsi="Bookman Old Style"/>
          <w:sz w:val="27"/>
          <w:szCs w:val="27"/>
        </w:rPr>
        <w:t xml:space="preserve"> cobija </w:t>
      </w:r>
      <w:r w:rsidRPr="00FA3473">
        <w:rPr>
          <w:rFonts w:ascii="Bookman Old Style" w:hAnsi="Bookman Old Style"/>
          <w:i/>
          <w:sz w:val="27"/>
          <w:szCs w:val="27"/>
        </w:rPr>
        <w:t>detenciones que han sido impuestas</w:t>
      </w:r>
      <w:r w:rsidRPr="00FA3473">
        <w:rPr>
          <w:rFonts w:ascii="Bookman Old Style" w:hAnsi="Bookman Old Style"/>
          <w:sz w:val="27"/>
          <w:szCs w:val="27"/>
        </w:rPr>
        <w:t xml:space="preserve"> </w:t>
      </w:r>
      <w:r w:rsidRPr="00FA3473">
        <w:rPr>
          <w:rFonts w:ascii="Bookman Old Style" w:hAnsi="Bookman Old Style"/>
          <w:b/>
          <w:i/>
          <w:sz w:val="27"/>
          <w:szCs w:val="27"/>
        </w:rPr>
        <w:t>con anterioridad</w:t>
      </w:r>
      <w:r w:rsidRPr="00FA3473">
        <w:rPr>
          <w:rFonts w:ascii="Bookman Old Style" w:hAnsi="Bookman Old Style"/>
          <w:sz w:val="27"/>
          <w:szCs w:val="27"/>
        </w:rPr>
        <w:t xml:space="preserve"> a la fecha de</w:t>
      </w:r>
      <w:r w:rsidR="00F35CC5" w:rsidRPr="00FA3473">
        <w:rPr>
          <w:rFonts w:ascii="Bookman Old Style" w:hAnsi="Bookman Old Style"/>
          <w:sz w:val="27"/>
          <w:szCs w:val="27"/>
        </w:rPr>
        <w:t xml:space="preserve"> entrada en vigencia de la norma.</w:t>
      </w:r>
    </w:p>
    <w:p w:rsidR="00F35CC5" w:rsidRPr="00FA3473" w:rsidRDefault="00F35CC5" w:rsidP="00727F29">
      <w:pPr>
        <w:spacing w:line="336" w:lineRule="auto"/>
        <w:ind w:firstLine="851"/>
        <w:jc w:val="both"/>
        <w:rPr>
          <w:rFonts w:ascii="Bookman Old Style" w:hAnsi="Bookman Old Style"/>
          <w:sz w:val="27"/>
          <w:szCs w:val="27"/>
        </w:rPr>
      </w:pPr>
      <w:r w:rsidRPr="00FA3473">
        <w:rPr>
          <w:rFonts w:ascii="Bookman Old Style" w:hAnsi="Bookman Old Style"/>
          <w:sz w:val="27"/>
          <w:szCs w:val="27"/>
        </w:rPr>
        <w:t xml:space="preserve"> </w:t>
      </w:r>
    </w:p>
    <w:p w:rsidR="00AB377F" w:rsidRPr="00FA3473" w:rsidRDefault="00F35CC5" w:rsidP="00727F29">
      <w:pPr>
        <w:spacing w:line="336" w:lineRule="auto"/>
        <w:ind w:firstLine="851"/>
        <w:jc w:val="both"/>
        <w:rPr>
          <w:rFonts w:ascii="Bookman Old Style" w:hAnsi="Bookman Old Style"/>
          <w:sz w:val="27"/>
          <w:szCs w:val="27"/>
        </w:rPr>
      </w:pPr>
      <w:r w:rsidRPr="00FA3473">
        <w:rPr>
          <w:rFonts w:ascii="Bookman Old Style" w:hAnsi="Bookman Old Style"/>
          <w:sz w:val="27"/>
          <w:szCs w:val="27"/>
        </w:rPr>
        <w:t xml:space="preserve">En primer lugar, debido a que se </w:t>
      </w:r>
      <w:r w:rsidR="00AB377F" w:rsidRPr="00FA3473">
        <w:rPr>
          <w:rFonts w:ascii="Bookman Old Style" w:hAnsi="Bookman Old Style"/>
          <w:sz w:val="27"/>
          <w:szCs w:val="27"/>
        </w:rPr>
        <w:t xml:space="preserve">trata de la </w:t>
      </w:r>
      <w:r w:rsidR="00AB377F" w:rsidRPr="00FA3473">
        <w:rPr>
          <w:rFonts w:ascii="Bookman Old Style" w:hAnsi="Bookman Old Style"/>
          <w:i/>
          <w:sz w:val="27"/>
          <w:szCs w:val="27"/>
        </w:rPr>
        <w:t>creación</w:t>
      </w:r>
      <w:r w:rsidR="00AB377F" w:rsidRPr="00FA3473">
        <w:rPr>
          <w:rFonts w:ascii="Bookman Old Style" w:hAnsi="Bookman Old Style"/>
          <w:sz w:val="27"/>
          <w:szCs w:val="27"/>
        </w:rPr>
        <w:t xml:space="preserve"> o establecimiento de un </w:t>
      </w:r>
      <w:r w:rsidR="00AB377F" w:rsidRPr="00FA3473">
        <w:rPr>
          <w:rFonts w:ascii="Bookman Old Style" w:hAnsi="Bookman Old Style"/>
          <w:i/>
          <w:sz w:val="27"/>
          <w:szCs w:val="27"/>
        </w:rPr>
        <w:t>plazo</w:t>
      </w:r>
      <w:r w:rsidR="00AB377F" w:rsidRPr="00FA3473">
        <w:rPr>
          <w:rFonts w:ascii="Bookman Old Style" w:hAnsi="Bookman Old Style"/>
          <w:sz w:val="27"/>
          <w:szCs w:val="27"/>
        </w:rPr>
        <w:t xml:space="preserve"> máximo para investigar y juzgar con restricción de la libertad personal, cuyo referente inicial de conteo siempre será la fecha de detención. Por consiguiente, en ese aspecto no es dable aplicar el art. 40 inc. 2° de la Ley 153 de 1887, modificado por el C.G.P.</w:t>
      </w:r>
      <w:r w:rsidR="00AB377F" w:rsidRPr="00FA3473">
        <w:rPr>
          <w:rStyle w:val="Refdenotaalpie"/>
          <w:rFonts w:ascii="Bookman Old Style" w:hAnsi="Bookman Old Style"/>
          <w:sz w:val="27"/>
          <w:szCs w:val="27"/>
        </w:rPr>
        <w:footnoteReference w:id="14"/>
      </w:r>
      <w:r w:rsidRPr="00FA3473">
        <w:rPr>
          <w:rFonts w:ascii="Bookman Old Style" w:hAnsi="Bookman Old Style"/>
          <w:sz w:val="27"/>
          <w:szCs w:val="27"/>
        </w:rPr>
        <w:t xml:space="preserve">, máxime que esta última disposición, </w:t>
      </w:r>
      <w:r w:rsidR="00AB377F" w:rsidRPr="00FA3473">
        <w:rPr>
          <w:rFonts w:ascii="Bookman Old Style" w:hAnsi="Bookman Old Style"/>
          <w:sz w:val="27"/>
          <w:szCs w:val="27"/>
        </w:rPr>
        <w:t xml:space="preserve">en materia penal, ha de integrarse con el art. 6° inc. 2° de la Ley 906 de 2004, conforme a la cual la ley procesal de efectos sustanciales permisiva o favorable, aun cuando sea posterior a la actuación, se preferirá de preferencia a la restrictiva o desfavorable. </w:t>
      </w:r>
    </w:p>
    <w:p w:rsidR="00D47A5B" w:rsidRPr="00FA3473" w:rsidRDefault="00D47A5B" w:rsidP="00727F29">
      <w:pPr>
        <w:spacing w:line="336" w:lineRule="auto"/>
        <w:ind w:firstLine="851"/>
        <w:jc w:val="both"/>
        <w:rPr>
          <w:rFonts w:ascii="Bookman Old Style" w:hAnsi="Bookman Old Style"/>
          <w:sz w:val="27"/>
          <w:szCs w:val="27"/>
        </w:rPr>
      </w:pPr>
    </w:p>
    <w:p w:rsidR="00AF1187" w:rsidRDefault="00D47A5B" w:rsidP="00727F29">
      <w:pPr>
        <w:spacing w:line="336" w:lineRule="auto"/>
        <w:ind w:firstLine="851"/>
        <w:jc w:val="both"/>
        <w:rPr>
          <w:rFonts w:ascii="Bookman Old Style" w:hAnsi="Bookman Old Style" w:cs="Tahoma"/>
          <w:sz w:val="25"/>
          <w:szCs w:val="25"/>
        </w:rPr>
      </w:pPr>
      <w:r w:rsidRPr="00FA3473">
        <w:rPr>
          <w:rFonts w:ascii="Bookman Old Style" w:hAnsi="Bookman Old Style"/>
          <w:sz w:val="27"/>
          <w:szCs w:val="27"/>
        </w:rPr>
        <w:t xml:space="preserve">En segundo término, por cuanto, </w:t>
      </w:r>
      <w:r w:rsidR="00AB377F" w:rsidRPr="00FA3473">
        <w:rPr>
          <w:rFonts w:ascii="Bookman Old Style" w:hAnsi="Bookman Old Style"/>
          <w:sz w:val="27"/>
          <w:szCs w:val="27"/>
        </w:rPr>
        <w:t xml:space="preserve">en estrecha conexión con el principio de favorabilidad, el art. 295 de la Ley 906 de </w:t>
      </w:r>
      <w:r w:rsidR="00AB377F" w:rsidRPr="00FA3473">
        <w:rPr>
          <w:rFonts w:ascii="Bookman Old Style" w:hAnsi="Bookman Old Style"/>
          <w:sz w:val="27"/>
          <w:szCs w:val="27"/>
        </w:rPr>
        <w:lastRenderedPageBreak/>
        <w:t xml:space="preserve">2004 consagra el principio de afirmación de la libertad, según el cual las disposiciones que autorizan preventivamente la privación o restricción de la libertad sólo podrán ser </w:t>
      </w:r>
      <w:r w:rsidR="00AB377F" w:rsidRPr="00FA3473">
        <w:rPr>
          <w:rFonts w:ascii="Bookman Old Style" w:hAnsi="Bookman Old Style"/>
          <w:i/>
          <w:sz w:val="27"/>
          <w:szCs w:val="27"/>
        </w:rPr>
        <w:t>interpretadas restrictivamente</w:t>
      </w:r>
      <w:r w:rsidR="00AB377F" w:rsidRPr="00FA3473">
        <w:rPr>
          <w:rFonts w:ascii="Bookman Old Style" w:hAnsi="Bookman Old Style"/>
          <w:sz w:val="27"/>
          <w:szCs w:val="27"/>
        </w:rPr>
        <w:t xml:space="preserve"> y su aplicación debe ser necesaria, adecuada, proporcional y </w:t>
      </w:r>
      <w:r w:rsidR="00AB377F" w:rsidRPr="00FA3473">
        <w:rPr>
          <w:rFonts w:ascii="Bookman Old Style" w:hAnsi="Bookman Old Style"/>
          <w:i/>
          <w:sz w:val="27"/>
          <w:szCs w:val="27"/>
        </w:rPr>
        <w:t>razonable</w:t>
      </w:r>
      <w:r w:rsidR="00AB377F" w:rsidRPr="00FA3473">
        <w:rPr>
          <w:rFonts w:ascii="Bookman Old Style" w:hAnsi="Bookman Old Style"/>
          <w:sz w:val="27"/>
          <w:szCs w:val="27"/>
        </w:rPr>
        <w:t xml:space="preserve"> frente a los contenidos constitucionales. Precisamente, sobre éste último particular, cabe anotar que la limitación de la duración de la detención es materialización del derecho humano de toda persona </w:t>
      </w:r>
      <w:r w:rsidR="00AB377F" w:rsidRPr="00FA3473">
        <w:rPr>
          <w:rFonts w:ascii="Bookman Old Style" w:hAnsi="Bookman Old Style"/>
          <w:i/>
          <w:sz w:val="27"/>
          <w:szCs w:val="27"/>
        </w:rPr>
        <w:t>detenida</w:t>
      </w:r>
      <w:r w:rsidR="00AB377F" w:rsidRPr="00FA3473">
        <w:rPr>
          <w:rFonts w:ascii="Bookman Old Style" w:hAnsi="Bookman Old Style"/>
          <w:sz w:val="27"/>
          <w:szCs w:val="27"/>
        </w:rPr>
        <w:t xml:space="preserve"> a ser “</w:t>
      </w:r>
      <w:r w:rsidR="00AB377F" w:rsidRPr="00FA3473">
        <w:rPr>
          <w:rFonts w:ascii="Bookman Old Style" w:hAnsi="Bookman Old Style"/>
          <w:i/>
          <w:sz w:val="27"/>
          <w:szCs w:val="27"/>
        </w:rPr>
        <w:t xml:space="preserve">juzgada dentro de un plazo razonable </w:t>
      </w:r>
      <w:r w:rsidR="00AB377F" w:rsidRPr="00FA3473">
        <w:rPr>
          <w:rFonts w:ascii="Bookman Old Style" w:hAnsi="Bookman Old Style" w:cs="Tahoma"/>
          <w:i/>
          <w:sz w:val="27"/>
          <w:szCs w:val="27"/>
        </w:rPr>
        <w:t>o a ser puesta en libertad, sin perjuicio de que continúe el proceso</w:t>
      </w:r>
      <w:r w:rsidR="00AB377F" w:rsidRPr="00FA3473">
        <w:rPr>
          <w:rFonts w:ascii="Bookman Old Style" w:hAnsi="Bookman Old Style" w:cs="Tahoma"/>
          <w:sz w:val="27"/>
          <w:szCs w:val="27"/>
        </w:rPr>
        <w:t xml:space="preserve">” </w:t>
      </w:r>
      <w:r w:rsidR="00AB377F" w:rsidRPr="00FA3473">
        <w:rPr>
          <w:rFonts w:ascii="Bookman Old Style" w:hAnsi="Bookman Old Style" w:cs="Tahoma"/>
          <w:sz w:val="25"/>
          <w:szCs w:val="25"/>
        </w:rPr>
        <w:t>(art. 7-5 C.A.D.H.</w:t>
      </w:r>
      <w:r w:rsidR="00AF1187">
        <w:rPr>
          <w:rFonts w:ascii="Bookman Old Style" w:hAnsi="Bookman Old Style" w:cs="Tahoma"/>
          <w:sz w:val="25"/>
          <w:szCs w:val="25"/>
        </w:rPr>
        <w:t>, integrado a la Constitución por vía del bloque de constitucionalidad (</w:t>
      </w:r>
      <w:r w:rsidR="00736A1C">
        <w:rPr>
          <w:rFonts w:ascii="Bookman Old Style" w:hAnsi="Bookman Old Style" w:cs="Tahoma"/>
          <w:sz w:val="25"/>
          <w:szCs w:val="25"/>
        </w:rPr>
        <w:t xml:space="preserve">93 inc. 1º). </w:t>
      </w:r>
    </w:p>
    <w:p w:rsidR="00AB377F" w:rsidRPr="00FA3473" w:rsidRDefault="00AB377F" w:rsidP="00727F29">
      <w:pPr>
        <w:pStyle w:val="NormalWeb"/>
        <w:shd w:val="clear" w:color="auto" w:fill="FFFFFF"/>
        <w:spacing w:before="0" w:beforeAutospacing="0" w:after="0" w:afterAutospacing="0" w:line="336" w:lineRule="auto"/>
        <w:jc w:val="both"/>
        <w:rPr>
          <w:rFonts w:ascii="Bookman Old Style" w:hAnsi="Bookman Old Style" w:cs="Arial"/>
          <w:sz w:val="27"/>
          <w:szCs w:val="27"/>
          <w:lang w:val="es-ES"/>
        </w:rPr>
      </w:pPr>
    </w:p>
    <w:p w:rsidR="00AB377F" w:rsidRDefault="00D47A5B" w:rsidP="00727F29">
      <w:pPr>
        <w:spacing w:line="336" w:lineRule="auto"/>
        <w:ind w:firstLine="851"/>
        <w:jc w:val="both"/>
        <w:rPr>
          <w:rFonts w:ascii="Bookman Old Style" w:hAnsi="Bookman Old Style"/>
          <w:sz w:val="27"/>
          <w:szCs w:val="27"/>
        </w:rPr>
      </w:pPr>
      <w:r w:rsidRPr="00FA3473">
        <w:rPr>
          <w:rFonts w:ascii="Bookman Old Style" w:hAnsi="Bookman Old Style"/>
          <w:sz w:val="27"/>
          <w:szCs w:val="27"/>
        </w:rPr>
        <w:t>En tercer orden, dado que u</w:t>
      </w:r>
      <w:r w:rsidR="00AB377F" w:rsidRPr="00FA3473">
        <w:rPr>
          <w:rFonts w:ascii="Bookman Old Style" w:hAnsi="Bookman Old Style"/>
          <w:sz w:val="27"/>
          <w:szCs w:val="27"/>
        </w:rPr>
        <w:t>na interpretación subjetiva, aplicando el método histórico, confirma que el conteo del término límite se aplica desde la fecha de la detención, no a partir de la entrada en vigencia de la norma, como quiera que la Ley 1786 de 2016 fue una medida legislativa de última hora, justificada para impedir una excarcelación masiva por aplicación del art. 1° de la Ley 1760 de 2015</w:t>
      </w:r>
      <w:r w:rsidRPr="00FA3473">
        <w:rPr>
          <w:rFonts w:ascii="Bookman Old Style" w:hAnsi="Bookman Old Style"/>
          <w:sz w:val="27"/>
          <w:szCs w:val="27"/>
        </w:rPr>
        <w:t xml:space="preserve"> (cfr. pie de página Nº </w:t>
      </w:r>
      <w:r w:rsidR="009818EB">
        <w:rPr>
          <w:rFonts w:ascii="Bookman Old Style" w:hAnsi="Bookman Old Style"/>
          <w:sz w:val="27"/>
          <w:szCs w:val="27"/>
        </w:rPr>
        <w:t>13</w:t>
      </w:r>
      <w:r w:rsidRPr="00FA3473">
        <w:rPr>
          <w:rFonts w:ascii="Bookman Old Style" w:hAnsi="Bookman Old Style"/>
          <w:sz w:val="27"/>
          <w:szCs w:val="27"/>
        </w:rPr>
        <w:t xml:space="preserve"> </w:t>
      </w:r>
      <w:r w:rsidRPr="00FA3473">
        <w:rPr>
          <w:rFonts w:ascii="Bookman Old Style" w:hAnsi="Bookman Old Style"/>
          <w:i/>
          <w:sz w:val="27"/>
          <w:szCs w:val="27"/>
        </w:rPr>
        <w:t>supra</w:t>
      </w:r>
      <w:r w:rsidRPr="00FA3473">
        <w:rPr>
          <w:rFonts w:ascii="Bookman Old Style" w:hAnsi="Bookman Old Style"/>
          <w:sz w:val="27"/>
          <w:szCs w:val="27"/>
        </w:rPr>
        <w:t>)</w:t>
      </w:r>
      <w:r w:rsidR="00AB377F" w:rsidRPr="00FA3473">
        <w:rPr>
          <w:rFonts w:ascii="Bookman Old Style" w:hAnsi="Bookman Old Style"/>
          <w:sz w:val="27"/>
          <w:szCs w:val="27"/>
        </w:rPr>
        <w:t>, que por primera vez incluyó el límite de un año (prorrogable a dos) a la duración de la detención preventiva. Si el término se empezara a contar a partir de la fecha de promulgación de la ley, no habría tenido el legislador que prorrogar la entrada en vigencia de la norma.</w:t>
      </w:r>
    </w:p>
    <w:p w:rsidR="001350EC" w:rsidRDefault="001350EC" w:rsidP="00727F29">
      <w:pPr>
        <w:spacing w:line="336" w:lineRule="auto"/>
        <w:ind w:firstLine="851"/>
        <w:jc w:val="both"/>
        <w:rPr>
          <w:rFonts w:ascii="Bookman Old Style" w:hAnsi="Bookman Old Style"/>
          <w:sz w:val="27"/>
          <w:szCs w:val="27"/>
        </w:rPr>
      </w:pPr>
    </w:p>
    <w:p w:rsidR="00D52CF0" w:rsidRDefault="00D52CF0" w:rsidP="00727F29">
      <w:pPr>
        <w:spacing w:line="336" w:lineRule="auto"/>
        <w:ind w:firstLine="851"/>
        <w:jc w:val="both"/>
        <w:rPr>
          <w:rFonts w:ascii="Bookman Old Style" w:hAnsi="Bookman Old Style"/>
          <w:sz w:val="27"/>
          <w:szCs w:val="27"/>
        </w:rPr>
      </w:pPr>
    </w:p>
    <w:p w:rsidR="001350EC" w:rsidRPr="00DF767A" w:rsidRDefault="001350EC" w:rsidP="001350EC">
      <w:pPr>
        <w:spacing w:line="336" w:lineRule="auto"/>
        <w:ind w:firstLine="705"/>
        <w:jc w:val="both"/>
        <w:rPr>
          <w:rFonts w:ascii="Bookman Old Style" w:hAnsi="Bookman Old Style"/>
          <w:b/>
          <w:sz w:val="25"/>
          <w:szCs w:val="25"/>
          <w:lang w:val="es-CO"/>
        </w:rPr>
      </w:pPr>
      <w:r w:rsidRPr="00DF767A">
        <w:rPr>
          <w:rFonts w:ascii="Bookman Old Style" w:hAnsi="Bookman Old Style"/>
          <w:b/>
          <w:sz w:val="25"/>
          <w:szCs w:val="25"/>
          <w:lang w:val="es-CO"/>
        </w:rPr>
        <w:lastRenderedPageBreak/>
        <w:t xml:space="preserve">3.1.3.2 </w:t>
      </w:r>
      <w:r w:rsidR="005B5C3B" w:rsidRPr="00DF767A">
        <w:rPr>
          <w:rFonts w:ascii="Bookman Old Style" w:hAnsi="Bookman Old Style"/>
          <w:b/>
          <w:sz w:val="25"/>
          <w:szCs w:val="25"/>
          <w:lang w:val="es-CO"/>
        </w:rPr>
        <w:t>Ámbito de aplicación temporal</w:t>
      </w:r>
      <w:r w:rsidR="005B5C3B" w:rsidRPr="00DF767A">
        <w:rPr>
          <w:rFonts w:ascii="Bookman Old Style" w:hAnsi="Bookman Old Style"/>
          <w:b/>
          <w:i/>
          <w:sz w:val="25"/>
          <w:szCs w:val="25"/>
          <w:lang w:val="es-CO"/>
        </w:rPr>
        <w:t xml:space="preserve"> </w:t>
      </w:r>
      <w:r w:rsidR="005B5C3B" w:rsidRPr="00DF767A">
        <w:rPr>
          <w:rFonts w:ascii="Bookman Old Style" w:hAnsi="Bookman Old Style"/>
          <w:b/>
          <w:sz w:val="25"/>
          <w:szCs w:val="25"/>
          <w:lang w:val="es-CO"/>
        </w:rPr>
        <w:t>del plazo razonable, cuyo desconocimiento da lugar a la libertad del detenido</w:t>
      </w:r>
    </w:p>
    <w:p w:rsidR="00D52CF0" w:rsidRPr="00DF767A" w:rsidRDefault="00D52CF0" w:rsidP="001350EC">
      <w:pPr>
        <w:spacing w:line="336" w:lineRule="auto"/>
        <w:ind w:firstLine="705"/>
        <w:jc w:val="both"/>
        <w:rPr>
          <w:rFonts w:ascii="Bookman Old Style" w:hAnsi="Bookman Old Style"/>
          <w:b/>
          <w:sz w:val="25"/>
          <w:szCs w:val="25"/>
          <w:lang w:val="es-CO"/>
        </w:rPr>
      </w:pPr>
    </w:p>
    <w:p w:rsidR="0096291A" w:rsidRPr="00DF767A" w:rsidRDefault="00E84036" w:rsidP="001350EC">
      <w:pPr>
        <w:spacing w:line="336" w:lineRule="auto"/>
        <w:ind w:firstLine="705"/>
        <w:jc w:val="both"/>
        <w:rPr>
          <w:rFonts w:ascii="Bookman Old Style" w:hAnsi="Bookman Old Style"/>
          <w:sz w:val="27"/>
          <w:szCs w:val="27"/>
          <w:lang w:val="es-CO"/>
        </w:rPr>
      </w:pPr>
      <w:r w:rsidRPr="00DF767A">
        <w:rPr>
          <w:rFonts w:ascii="Bookman Old Style" w:hAnsi="Bookman Old Style"/>
          <w:sz w:val="27"/>
          <w:szCs w:val="27"/>
          <w:lang w:val="es-CO"/>
        </w:rPr>
        <w:t xml:space="preserve">Indiscutiblemente, la contabilización del término </w:t>
      </w:r>
      <w:r w:rsidRPr="00DF767A">
        <w:rPr>
          <w:rFonts w:ascii="Bookman Old Style" w:hAnsi="Bookman Old Style"/>
          <w:i/>
          <w:sz w:val="27"/>
          <w:szCs w:val="27"/>
          <w:lang w:val="es-CO"/>
        </w:rPr>
        <w:t>máximo</w:t>
      </w:r>
      <w:r w:rsidRPr="00DF767A">
        <w:rPr>
          <w:rFonts w:ascii="Bookman Old Style" w:hAnsi="Bookman Old Style"/>
          <w:sz w:val="27"/>
          <w:szCs w:val="27"/>
          <w:lang w:val="es-CO"/>
        </w:rPr>
        <w:t xml:space="preserve"> de vigencia de la detención preventiva </w:t>
      </w:r>
      <w:r w:rsidR="008C34E9" w:rsidRPr="00DF767A">
        <w:rPr>
          <w:rFonts w:ascii="Bookman Old Style" w:hAnsi="Bookman Old Style"/>
          <w:sz w:val="27"/>
          <w:szCs w:val="27"/>
          <w:lang w:val="es-CO"/>
        </w:rPr>
        <w:t xml:space="preserve">ha de </w:t>
      </w:r>
      <w:r w:rsidR="008C34E9" w:rsidRPr="00DF767A">
        <w:rPr>
          <w:rFonts w:ascii="Bookman Old Style" w:hAnsi="Bookman Old Style"/>
          <w:i/>
          <w:sz w:val="27"/>
          <w:szCs w:val="27"/>
          <w:lang w:val="es-CO"/>
        </w:rPr>
        <w:t>partir</w:t>
      </w:r>
      <w:r w:rsidR="008C34E9" w:rsidRPr="00DF767A">
        <w:rPr>
          <w:rFonts w:ascii="Bookman Old Style" w:hAnsi="Bookman Old Style"/>
          <w:sz w:val="27"/>
          <w:szCs w:val="27"/>
          <w:lang w:val="es-CO"/>
        </w:rPr>
        <w:t xml:space="preserve"> de</w:t>
      </w:r>
      <w:r w:rsidRPr="00DF767A">
        <w:rPr>
          <w:rFonts w:ascii="Bookman Old Style" w:hAnsi="Bookman Old Style"/>
          <w:sz w:val="27"/>
          <w:szCs w:val="27"/>
          <w:lang w:val="es-CO"/>
        </w:rPr>
        <w:t xml:space="preserve">l momento en que </w:t>
      </w:r>
      <w:r w:rsidR="0096291A" w:rsidRPr="00DF767A">
        <w:rPr>
          <w:rFonts w:ascii="Bookman Old Style" w:hAnsi="Bookman Old Style"/>
          <w:sz w:val="27"/>
          <w:szCs w:val="27"/>
          <w:lang w:val="es-CO"/>
        </w:rPr>
        <w:t xml:space="preserve">efectivamente </w:t>
      </w:r>
      <w:r w:rsidRPr="00DF767A">
        <w:rPr>
          <w:rFonts w:ascii="Bookman Old Style" w:hAnsi="Bookman Old Style"/>
          <w:sz w:val="27"/>
          <w:szCs w:val="27"/>
          <w:lang w:val="es-CO"/>
        </w:rPr>
        <w:t>se impone dicha medida de aseguramiento. Ahora, la cabal comprensión de la</w:t>
      </w:r>
      <w:r w:rsidR="008C34E9" w:rsidRPr="00DF767A">
        <w:rPr>
          <w:rFonts w:ascii="Bookman Old Style" w:hAnsi="Bookman Old Style"/>
          <w:sz w:val="27"/>
          <w:szCs w:val="27"/>
          <w:lang w:val="es-CO"/>
        </w:rPr>
        <w:t xml:space="preserve"> consecuencia jurídica derivada de la superación del plazo </w:t>
      </w:r>
      <w:r w:rsidR="0096291A" w:rsidRPr="00DF767A">
        <w:rPr>
          <w:rFonts w:ascii="Bookman Old Style" w:hAnsi="Bookman Old Style"/>
          <w:sz w:val="27"/>
          <w:szCs w:val="27"/>
          <w:lang w:val="es-CO"/>
        </w:rPr>
        <w:t>razonable</w:t>
      </w:r>
      <w:r w:rsidR="00D370A4" w:rsidRPr="00DF767A">
        <w:rPr>
          <w:rFonts w:ascii="Bookman Old Style" w:hAnsi="Bookman Old Style"/>
          <w:sz w:val="27"/>
          <w:szCs w:val="27"/>
          <w:lang w:val="es-CO"/>
        </w:rPr>
        <w:t>, fijado legalmente</w:t>
      </w:r>
      <w:r w:rsidR="0096291A" w:rsidRPr="00DF767A">
        <w:rPr>
          <w:rFonts w:ascii="Bookman Old Style" w:hAnsi="Bookman Old Style"/>
          <w:sz w:val="27"/>
          <w:szCs w:val="27"/>
          <w:lang w:val="es-CO"/>
        </w:rPr>
        <w:t xml:space="preserve"> para la definición del proceso</w:t>
      </w:r>
      <w:r w:rsidR="00794E61" w:rsidRPr="00DF767A">
        <w:rPr>
          <w:rFonts w:ascii="Bookman Old Style" w:hAnsi="Bookman Old Style"/>
          <w:sz w:val="27"/>
          <w:szCs w:val="27"/>
          <w:lang w:val="es-CO"/>
        </w:rPr>
        <w:t xml:space="preserve"> con privación de la libertad del procesado</w:t>
      </w:r>
      <w:r w:rsidR="0096291A" w:rsidRPr="00DF767A">
        <w:rPr>
          <w:rFonts w:ascii="Bookman Old Style" w:hAnsi="Bookman Old Style"/>
          <w:sz w:val="26"/>
          <w:szCs w:val="26"/>
          <w:lang w:val="es-CO"/>
        </w:rPr>
        <w:t xml:space="preserve"> </w:t>
      </w:r>
      <w:r w:rsidR="0096291A" w:rsidRPr="00DF767A">
        <w:rPr>
          <w:rFonts w:ascii="Bookman Old Style" w:hAnsi="Bookman Old Style"/>
          <w:sz w:val="25"/>
          <w:szCs w:val="25"/>
          <w:lang w:val="es-CO"/>
        </w:rPr>
        <w:t xml:space="preserve">-sustitución de la detención por una medida de aseguramiento </w:t>
      </w:r>
      <w:r w:rsidR="0096291A" w:rsidRPr="00DF767A">
        <w:rPr>
          <w:rFonts w:ascii="Bookman Old Style" w:hAnsi="Bookman Old Style"/>
          <w:i/>
          <w:sz w:val="25"/>
          <w:szCs w:val="25"/>
          <w:lang w:val="es-CO"/>
        </w:rPr>
        <w:t>no privativa</w:t>
      </w:r>
      <w:r w:rsidR="0096291A" w:rsidRPr="00DF767A">
        <w:rPr>
          <w:rFonts w:ascii="Bookman Old Style" w:hAnsi="Bookman Old Style"/>
          <w:sz w:val="25"/>
          <w:szCs w:val="25"/>
          <w:lang w:val="es-CO"/>
        </w:rPr>
        <w:t xml:space="preserve"> de la libertad-</w:t>
      </w:r>
      <w:r w:rsidR="00D370A4" w:rsidRPr="00DF767A">
        <w:rPr>
          <w:rFonts w:ascii="Bookman Old Style" w:hAnsi="Bookman Old Style"/>
          <w:sz w:val="25"/>
          <w:szCs w:val="25"/>
          <w:lang w:val="es-CO"/>
        </w:rPr>
        <w:t xml:space="preserve"> </w:t>
      </w:r>
      <w:r w:rsidR="00D370A4" w:rsidRPr="00DF767A">
        <w:rPr>
          <w:rFonts w:ascii="Bookman Old Style" w:hAnsi="Bookman Old Style"/>
          <w:sz w:val="27"/>
          <w:szCs w:val="27"/>
          <w:lang w:val="es-CO"/>
        </w:rPr>
        <w:t>ha de incluir</w:t>
      </w:r>
      <w:r w:rsidR="00745515" w:rsidRPr="00DF767A">
        <w:rPr>
          <w:rFonts w:ascii="Bookman Old Style" w:hAnsi="Bookman Old Style"/>
          <w:sz w:val="27"/>
          <w:szCs w:val="27"/>
          <w:lang w:val="es-CO"/>
        </w:rPr>
        <w:t xml:space="preserve">, para los fines del art. 7-5 de la C.A.D.H., </w:t>
      </w:r>
      <w:r w:rsidR="000B1748" w:rsidRPr="00DF767A">
        <w:rPr>
          <w:rFonts w:ascii="Bookman Old Style" w:hAnsi="Bookman Old Style"/>
          <w:sz w:val="27"/>
          <w:szCs w:val="27"/>
          <w:lang w:val="es-CO"/>
        </w:rPr>
        <w:t>la de</w:t>
      </w:r>
      <w:r w:rsidR="00745515" w:rsidRPr="00DF767A">
        <w:rPr>
          <w:rFonts w:ascii="Bookman Old Style" w:hAnsi="Bookman Old Style"/>
          <w:sz w:val="27"/>
          <w:szCs w:val="27"/>
          <w:lang w:val="es-CO"/>
        </w:rPr>
        <w:t>terminación</w:t>
      </w:r>
      <w:r w:rsidR="000B1748" w:rsidRPr="00DF767A">
        <w:rPr>
          <w:rFonts w:ascii="Bookman Old Style" w:hAnsi="Bookman Old Style"/>
          <w:sz w:val="27"/>
          <w:szCs w:val="27"/>
          <w:lang w:val="es-CO"/>
        </w:rPr>
        <w:t xml:space="preserve"> de cuá</w:t>
      </w:r>
      <w:r w:rsidR="00D370A4" w:rsidRPr="00DF767A">
        <w:rPr>
          <w:rFonts w:ascii="Bookman Old Style" w:hAnsi="Bookman Old Style"/>
          <w:sz w:val="27"/>
          <w:szCs w:val="27"/>
          <w:lang w:val="es-CO"/>
        </w:rPr>
        <w:t xml:space="preserve">ndo se entiende que la persona ha sido </w:t>
      </w:r>
      <w:r w:rsidR="00D370A4" w:rsidRPr="00DF767A">
        <w:rPr>
          <w:rFonts w:ascii="Bookman Old Style" w:hAnsi="Bookman Old Style"/>
          <w:i/>
          <w:sz w:val="27"/>
          <w:szCs w:val="27"/>
          <w:lang w:val="es-CO"/>
        </w:rPr>
        <w:t>juzgada</w:t>
      </w:r>
      <w:r w:rsidR="00AD40C3" w:rsidRPr="00DF767A">
        <w:rPr>
          <w:rFonts w:ascii="Bookman Old Style" w:hAnsi="Bookman Old Style"/>
          <w:sz w:val="27"/>
          <w:szCs w:val="27"/>
          <w:lang w:val="es-CO"/>
        </w:rPr>
        <w:t xml:space="preserve">. </w:t>
      </w:r>
    </w:p>
    <w:p w:rsidR="00446478" w:rsidRPr="00DF767A" w:rsidRDefault="00446478" w:rsidP="001350EC">
      <w:pPr>
        <w:spacing w:line="336" w:lineRule="auto"/>
        <w:ind w:firstLine="705"/>
        <w:jc w:val="both"/>
        <w:rPr>
          <w:rFonts w:ascii="Bookman Old Style" w:hAnsi="Bookman Old Style"/>
          <w:sz w:val="27"/>
          <w:szCs w:val="27"/>
          <w:lang w:val="es-CO"/>
        </w:rPr>
      </w:pPr>
    </w:p>
    <w:p w:rsidR="00446478" w:rsidRPr="00DF767A" w:rsidRDefault="004F278B" w:rsidP="001350EC">
      <w:pPr>
        <w:spacing w:line="336" w:lineRule="auto"/>
        <w:ind w:firstLine="705"/>
        <w:jc w:val="both"/>
        <w:rPr>
          <w:rFonts w:ascii="Bookman Old Style" w:hAnsi="Bookman Old Style"/>
          <w:sz w:val="26"/>
          <w:szCs w:val="26"/>
          <w:lang w:val="es-CO"/>
        </w:rPr>
      </w:pPr>
      <w:r w:rsidRPr="00DF767A">
        <w:rPr>
          <w:rFonts w:ascii="Bookman Old Style" w:hAnsi="Bookman Old Style"/>
          <w:sz w:val="27"/>
          <w:szCs w:val="27"/>
          <w:lang w:val="es-CO"/>
        </w:rPr>
        <w:t xml:space="preserve">A ese respecto, </w:t>
      </w:r>
      <w:r w:rsidR="00E066EF" w:rsidRPr="00DF767A">
        <w:rPr>
          <w:rFonts w:ascii="Bookman Old Style" w:hAnsi="Bookman Old Style"/>
          <w:sz w:val="27"/>
          <w:szCs w:val="27"/>
          <w:lang w:val="es-CO"/>
        </w:rPr>
        <w:t xml:space="preserve">la jurisprudencia constitucional </w:t>
      </w:r>
      <w:r w:rsidR="00325C1E" w:rsidRPr="00DF767A">
        <w:rPr>
          <w:rFonts w:ascii="Bookman Old Style" w:hAnsi="Bookman Old Style"/>
          <w:sz w:val="25"/>
          <w:szCs w:val="25"/>
          <w:lang w:val="es-CO"/>
        </w:rPr>
        <w:t>(sent. C-221 de 2017)</w:t>
      </w:r>
      <w:r w:rsidR="00325C1E" w:rsidRPr="00DF767A">
        <w:rPr>
          <w:rFonts w:ascii="Bookman Old Style" w:hAnsi="Bookman Old Style"/>
          <w:sz w:val="27"/>
          <w:szCs w:val="27"/>
          <w:lang w:val="es-CO"/>
        </w:rPr>
        <w:t xml:space="preserve"> </w:t>
      </w:r>
      <w:r w:rsidR="004E48C0" w:rsidRPr="00DF767A">
        <w:rPr>
          <w:rFonts w:ascii="Bookman Old Style" w:hAnsi="Bookman Old Style"/>
          <w:sz w:val="27"/>
          <w:szCs w:val="27"/>
          <w:lang w:val="es-CO"/>
        </w:rPr>
        <w:t xml:space="preserve">es del criterio que </w:t>
      </w:r>
      <w:r w:rsidR="00B1639B" w:rsidRPr="00DF767A">
        <w:rPr>
          <w:rFonts w:ascii="Bookman Old Style" w:hAnsi="Bookman Old Style"/>
          <w:sz w:val="27"/>
          <w:szCs w:val="27"/>
          <w:lang w:val="es-CO"/>
        </w:rPr>
        <w:t xml:space="preserve">el plazo máximo </w:t>
      </w:r>
      <w:r w:rsidR="00A24E61" w:rsidRPr="00DF767A">
        <w:rPr>
          <w:rFonts w:ascii="Bookman Old Style" w:hAnsi="Bookman Old Style"/>
          <w:sz w:val="27"/>
          <w:szCs w:val="27"/>
          <w:lang w:val="es-CO"/>
        </w:rPr>
        <w:t>fijado por el art. 1º de la Ley 1786 de 2016 para “</w:t>
      </w:r>
      <w:r w:rsidR="00A24E61" w:rsidRPr="00DF767A">
        <w:rPr>
          <w:rFonts w:ascii="Bookman Old Style" w:hAnsi="Bookman Old Style"/>
          <w:i/>
          <w:sz w:val="27"/>
          <w:szCs w:val="27"/>
          <w:lang w:val="es-CO"/>
        </w:rPr>
        <w:t>evacuar</w:t>
      </w:r>
      <w:r w:rsidR="00A24E61" w:rsidRPr="00DF767A">
        <w:rPr>
          <w:rFonts w:ascii="Bookman Old Style" w:hAnsi="Bookman Old Style"/>
          <w:sz w:val="27"/>
          <w:szCs w:val="27"/>
          <w:lang w:val="es-CO"/>
        </w:rPr>
        <w:t xml:space="preserve">” los procesos con personas privadas de la libertad </w:t>
      </w:r>
      <w:r w:rsidR="001A00A1" w:rsidRPr="00DF767A">
        <w:rPr>
          <w:rFonts w:ascii="Bookman Old Style" w:hAnsi="Bookman Old Style"/>
          <w:sz w:val="27"/>
          <w:szCs w:val="27"/>
          <w:lang w:val="es-CO"/>
        </w:rPr>
        <w:t xml:space="preserve">se extiende hasta </w:t>
      </w:r>
      <w:r w:rsidR="00730CCE" w:rsidRPr="00DF767A">
        <w:rPr>
          <w:rFonts w:ascii="Bookman Old Style" w:hAnsi="Bookman Old Style"/>
          <w:sz w:val="27"/>
          <w:szCs w:val="27"/>
          <w:lang w:val="es-CO"/>
        </w:rPr>
        <w:t xml:space="preserve">la audiencia de lectura de fallo de segunda instancia. </w:t>
      </w:r>
      <w:r w:rsidR="000D2C9A" w:rsidRPr="00DF767A">
        <w:rPr>
          <w:rFonts w:ascii="Bookman Old Style" w:hAnsi="Bookman Old Style"/>
          <w:sz w:val="27"/>
          <w:szCs w:val="27"/>
          <w:lang w:val="es-CO"/>
        </w:rPr>
        <w:t xml:space="preserve">Para la Corte Constitucional, </w:t>
      </w:r>
      <w:r w:rsidR="00FA6575" w:rsidRPr="00DF767A">
        <w:rPr>
          <w:rFonts w:ascii="Bookman Old Style" w:hAnsi="Bookman Old Style"/>
          <w:sz w:val="27"/>
          <w:szCs w:val="27"/>
          <w:lang w:val="es-CO"/>
        </w:rPr>
        <w:t xml:space="preserve">ese término funciona como </w:t>
      </w:r>
      <w:r w:rsidR="00FA6575" w:rsidRPr="00DF767A">
        <w:rPr>
          <w:rFonts w:ascii="Bookman Old Style" w:hAnsi="Bookman Old Style"/>
          <w:sz w:val="26"/>
          <w:szCs w:val="26"/>
          <w:lang w:val="es-CO"/>
        </w:rPr>
        <w:t>“</w:t>
      </w:r>
      <w:r w:rsidR="00FA6575" w:rsidRPr="00DF767A">
        <w:rPr>
          <w:rFonts w:ascii="Bookman Old Style" w:hAnsi="Bookman Old Style"/>
          <w:i/>
          <w:sz w:val="26"/>
          <w:szCs w:val="26"/>
          <w:lang w:val="es-CO"/>
        </w:rPr>
        <w:t xml:space="preserve">una cláusula general de libertad a favor del acusado, fundada en un cálculo del tiempo prudencial que toma el trámite del proceso, precisamente, </w:t>
      </w:r>
      <w:r w:rsidR="00FA6575" w:rsidRPr="00DF767A">
        <w:rPr>
          <w:rFonts w:ascii="Bookman Old Style" w:hAnsi="Bookman Old Style"/>
          <w:b/>
          <w:i/>
          <w:sz w:val="26"/>
          <w:szCs w:val="26"/>
          <w:lang w:val="es-CO"/>
        </w:rPr>
        <w:t>hasta la adopción del fallo que resuelve la apelación contra la sentencia</w:t>
      </w:r>
      <w:r w:rsidR="00FA6575" w:rsidRPr="00DF767A">
        <w:rPr>
          <w:rFonts w:ascii="Bookman Old Style" w:hAnsi="Bookman Old Style"/>
          <w:i/>
          <w:sz w:val="26"/>
          <w:szCs w:val="26"/>
          <w:lang w:val="es-CO"/>
        </w:rPr>
        <w:t xml:space="preserve">”. </w:t>
      </w:r>
      <w:r w:rsidR="00FA6575" w:rsidRPr="00DF767A">
        <w:rPr>
          <w:rFonts w:ascii="Bookman Old Style" w:hAnsi="Bookman Old Style"/>
          <w:sz w:val="27"/>
          <w:szCs w:val="27"/>
          <w:lang w:val="es-CO"/>
        </w:rPr>
        <w:t>De ahí que,</w:t>
      </w:r>
      <w:r w:rsidR="002706EF" w:rsidRPr="00DF767A">
        <w:rPr>
          <w:rFonts w:ascii="Bookman Old Style" w:hAnsi="Bookman Old Style"/>
          <w:sz w:val="27"/>
          <w:szCs w:val="27"/>
          <w:lang w:val="es-CO"/>
        </w:rPr>
        <w:t xml:space="preserve"> en criterio de esa Corporación,</w:t>
      </w:r>
      <w:r w:rsidR="00FA6575" w:rsidRPr="00DF767A">
        <w:rPr>
          <w:rFonts w:ascii="Bookman Old Style" w:hAnsi="Bookman Old Style"/>
          <w:sz w:val="26"/>
          <w:szCs w:val="26"/>
          <w:lang w:val="es-CO"/>
        </w:rPr>
        <w:t xml:space="preserve"> “</w:t>
      </w:r>
      <w:r w:rsidR="00FA6575" w:rsidRPr="00DF767A">
        <w:rPr>
          <w:rFonts w:ascii="Bookman Old Style" w:hAnsi="Bookman Old Style"/>
          <w:i/>
          <w:sz w:val="26"/>
          <w:szCs w:val="26"/>
          <w:lang w:val="es-CO"/>
        </w:rPr>
        <w:t xml:space="preserve">las medidas de aseguramiento privativas de la libertad no pueden exceder de un año, regla fundada en que este término de detención sin que haya sido resulta la apelación de la </w:t>
      </w:r>
      <w:r w:rsidR="00FA6575" w:rsidRPr="00DF767A">
        <w:rPr>
          <w:rFonts w:ascii="Bookman Old Style" w:hAnsi="Bookman Old Style"/>
          <w:i/>
          <w:sz w:val="26"/>
          <w:szCs w:val="26"/>
          <w:lang w:val="es-CO"/>
        </w:rPr>
        <w:lastRenderedPageBreak/>
        <w:t>decisión de primera instancia resulta razonable para que el acusado sea dejado en libertad”</w:t>
      </w:r>
      <w:r w:rsidR="002706EF" w:rsidRPr="00DF767A">
        <w:rPr>
          <w:rFonts w:ascii="Bookman Old Style" w:hAnsi="Bookman Old Style"/>
          <w:i/>
          <w:sz w:val="26"/>
          <w:szCs w:val="26"/>
          <w:lang w:val="es-CO"/>
        </w:rPr>
        <w:t xml:space="preserve">. </w:t>
      </w:r>
    </w:p>
    <w:p w:rsidR="002706EF" w:rsidRPr="00DF767A" w:rsidRDefault="002706EF" w:rsidP="001350EC">
      <w:pPr>
        <w:spacing w:line="336" w:lineRule="auto"/>
        <w:ind w:firstLine="705"/>
        <w:jc w:val="both"/>
        <w:rPr>
          <w:rFonts w:ascii="Bookman Old Style" w:hAnsi="Bookman Old Style"/>
          <w:sz w:val="26"/>
          <w:szCs w:val="26"/>
          <w:lang w:val="es-CO"/>
        </w:rPr>
      </w:pPr>
    </w:p>
    <w:p w:rsidR="00A77C6D" w:rsidRPr="00DF767A" w:rsidRDefault="00254212" w:rsidP="001350EC">
      <w:pPr>
        <w:spacing w:line="336" w:lineRule="auto"/>
        <w:ind w:firstLine="705"/>
        <w:jc w:val="both"/>
        <w:rPr>
          <w:rFonts w:ascii="Bookman Old Style" w:hAnsi="Bookman Old Style"/>
          <w:sz w:val="27"/>
          <w:szCs w:val="27"/>
          <w:lang w:val="es-CO"/>
        </w:rPr>
      </w:pPr>
      <w:r w:rsidRPr="00DF767A">
        <w:rPr>
          <w:rFonts w:ascii="Bookman Old Style" w:hAnsi="Bookman Old Style"/>
          <w:sz w:val="27"/>
          <w:szCs w:val="27"/>
          <w:lang w:val="es-CO"/>
        </w:rPr>
        <w:t xml:space="preserve">Sin embargo, para la Sala de Casación Penal de la Corte Suprema de Justicia, </w:t>
      </w:r>
      <w:r w:rsidR="0024441C" w:rsidRPr="00DF767A">
        <w:rPr>
          <w:rFonts w:ascii="Bookman Old Style" w:hAnsi="Bookman Old Style"/>
          <w:sz w:val="27"/>
          <w:szCs w:val="27"/>
          <w:lang w:val="es-CO"/>
        </w:rPr>
        <w:t>tal fijación</w:t>
      </w:r>
      <w:r w:rsidR="00174923" w:rsidRPr="00DF767A">
        <w:rPr>
          <w:rFonts w:ascii="Bookman Old Style" w:hAnsi="Bookman Old Style"/>
          <w:sz w:val="27"/>
          <w:szCs w:val="27"/>
          <w:lang w:val="es-CO"/>
        </w:rPr>
        <w:t xml:space="preserve"> </w:t>
      </w:r>
      <w:r w:rsidR="0024441C" w:rsidRPr="00DF767A">
        <w:rPr>
          <w:rFonts w:ascii="Bookman Old Style" w:hAnsi="Bookman Old Style"/>
          <w:sz w:val="27"/>
          <w:szCs w:val="27"/>
          <w:lang w:val="es-CO"/>
        </w:rPr>
        <w:t>del ámbito temporal</w:t>
      </w:r>
      <w:r w:rsidR="00363435" w:rsidRPr="00DF767A">
        <w:rPr>
          <w:rFonts w:ascii="Bookman Old Style" w:hAnsi="Bookman Old Style"/>
          <w:sz w:val="27"/>
          <w:szCs w:val="27"/>
          <w:lang w:val="es-CO"/>
        </w:rPr>
        <w:t xml:space="preserve"> </w:t>
      </w:r>
      <w:r w:rsidR="0024441C" w:rsidRPr="00DF767A">
        <w:rPr>
          <w:rFonts w:ascii="Bookman Old Style" w:hAnsi="Bookman Old Style"/>
          <w:sz w:val="27"/>
          <w:szCs w:val="27"/>
          <w:lang w:val="es-CO"/>
        </w:rPr>
        <w:t xml:space="preserve">de aplicación de la plurimencionada causal genérica de libertad por vencimiento del plazo máximo razonable sin que el detenido haya sido </w:t>
      </w:r>
      <w:r w:rsidR="0024441C" w:rsidRPr="00DF767A">
        <w:rPr>
          <w:rFonts w:ascii="Bookman Old Style" w:hAnsi="Bookman Old Style"/>
          <w:i/>
          <w:sz w:val="27"/>
          <w:szCs w:val="27"/>
          <w:lang w:val="es-CO"/>
        </w:rPr>
        <w:t>juzgado</w:t>
      </w:r>
      <w:r w:rsidR="0024441C" w:rsidRPr="00DF767A">
        <w:rPr>
          <w:rFonts w:ascii="Bookman Old Style" w:hAnsi="Bookman Old Style"/>
          <w:sz w:val="27"/>
          <w:szCs w:val="27"/>
          <w:lang w:val="es-CO"/>
        </w:rPr>
        <w:t xml:space="preserve"> se ofrece err</w:t>
      </w:r>
      <w:r w:rsidR="000B41C4" w:rsidRPr="00DF767A">
        <w:rPr>
          <w:rFonts w:ascii="Bookman Old Style" w:hAnsi="Bookman Old Style"/>
          <w:sz w:val="27"/>
          <w:szCs w:val="27"/>
          <w:lang w:val="es-CO"/>
        </w:rPr>
        <w:t xml:space="preserve">ónea. Por una parte, se advierte una equivocada equiparación de lo que significa </w:t>
      </w:r>
      <w:r w:rsidR="000B41C4" w:rsidRPr="00DF767A">
        <w:rPr>
          <w:rFonts w:ascii="Bookman Old Style" w:hAnsi="Bookman Old Style"/>
          <w:i/>
          <w:sz w:val="27"/>
          <w:szCs w:val="27"/>
          <w:lang w:val="es-CO"/>
        </w:rPr>
        <w:t>ser juzgado</w:t>
      </w:r>
      <w:r w:rsidR="000B41C4" w:rsidRPr="00DF767A">
        <w:rPr>
          <w:rFonts w:ascii="Bookman Old Style" w:hAnsi="Bookman Old Style"/>
          <w:sz w:val="27"/>
          <w:szCs w:val="27"/>
          <w:lang w:val="es-CO"/>
        </w:rPr>
        <w:t xml:space="preserve">, en los términos del art. 7-5 de la C.A.D.H. </w:t>
      </w:r>
      <w:r w:rsidR="000B41C4" w:rsidRPr="00DF767A">
        <w:rPr>
          <w:rFonts w:ascii="Bookman Old Style" w:hAnsi="Bookman Old Style"/>
          <w:sz w:val="25"/>
          <w:szCs w:val="25"/>
          <w:lang w:val="es-CO"/>
        </w:rPr>
        <w:t xml:space="preserve">-norma que consagra la causal de libertad por vencimiento del plazo razonable-, </w:t>
      </w:r>
      <w:r w:rsidR="000B41C4" w:rsidRPr="00DF767A">
        <w:rPr>
          <w:rFonts w:ascii="Bookman Old Style" w:hAnsi="Bookman Old Style"/>
          <w:sz w:val="27"/>
          <w:szCs w:val="27"/>
          <w:lang w:val="es-CO"/>
        </w:rPr>
        <w:t xml:space="preserve">con </w:t>
      </w:r>
      <w:r w:rsidR="003C731E" w:rsidRPr="00DF767A">
        <w:rPr>
          <w:rFonts w:ascii="Bookman Old Style" w:hAnsi="Bookman Old Style"/>
          <w:sz w:val="27"/>
          <w:szCs w:val="27"/>
          <w:lang w:val="es-CO"/>
        </w:rPr>
        <w:t>la duraci</w:t>
      </w:r>
      <w:r w:rsidR="002D12B6" w:rsidRPr="00DF767A">
        <w:rPr>
          <w:rFonts w:ascii="Bookman Old Style" w:hAnsi="Bookman Old Style"/>
          <w:sz w:val="27"/>
          <w:szCs w:val="27"/>
          <w:lang w:val="es-CO"/>
        </w:rPr>
        <w:t xml:space="preserve">ón </w:t>
      </w:r>
      <w:r w:rsidR="003C731E" w:rsidRPr="00DF767A">
        <w:rPr>
          <w:rFonts w:ascii="Bookman Old Style" w:hAnsi="Bookman Old Style"/>
          <w:i/>
          <w:sz w:val="27"/>
          <w:szCs w:val="27"/>
          <w:lang w:val="es-CO"/>
        </w:rPr>
        <w:t>del proceso</w:t>
      </w:r>
      <w:r w:rsidR="003C731E" w:rsidRPr="00DF767A">
        <w:rPr>
          <w:rFonts w:ascii="Bookman Old Style" w:hAnsi="Bookman Old Style"/>
          <w:sz w:val="27"/>
          <w:szCs w:val="27"/>
          <w:lang w:val="es-CO"/>
        </w:rPr>
        <w:t xml:space="preserve"> penal</w:t>
      </w:r>
      <w:r w:rsidR="00982AED" w:rsidRPr="00DF767A">
        <w:rPr>
          <w:rFonts w:ascii="Bookman Old Style" w:hAnsi="Bookman Old Style"/>
          <w:sz w:val="27"/>
          <w:szCs w:val="27"/>
          <w:lang w:val="es-CO"/>
        </w:rPr>
        <w:t xml:space="preserve"> como tal</w:t>
      </w:r>
      <w:r w:rsidR="003C731E" w:rsidRPr="00DF767A">
        <w:rPr>
          <w:rFonts w:ascii="Bookman Old Style" w:hAnsi="Bookman Old Style"/>
          <w:sz w:val="27"/>
          <w:szCs w:val="27"/>
          <w:lang w:val="es-CO"/>
        </w:rPr>
        <w:t xml:space="preserve">; por otra, </w:t>
      </w:r>
      <w:r w:rsidR="008C244D" w:rsidRPr="00DF767A">
        <w:rPr>
          <w:rFonts w:ascii="Bookman Old Style" w:hAnsi="Bookman Old Style"/>
          <w:sz w:val="27"/>
          <w:szCs w:val="27"/>
          <w:lang w:val="es-CO"/>
        </w:rPr>
        <w:t xml:space="preserve">a la hora de interpretar </w:t>
      </w:r>
      <w:r w:rsidR="009F68BD" w:rsidRPr="00DF767A">
        <w:rPr>
          <w:rFonts w:ascii="Bookman Old Style" w:hAnsi="Bookman Old Style"/>
          <w:sz w:val="27"/>
          <w:szCs w:val="27"/>
          <w:lang w:val="es-CO"/>
        </w:rPr>
        <w:t xml:space="preserve">el art. 1º de la Ley 1786 de 2016, </w:t>
      </w:r>
      <w:r w:rsidR="00EB2DAC" w:rsidRPr="00DF767A">
        <w:rPr>
          <w:rFonts w:ascii="Bookman Old Style" w:hAnsi="Bookman Old Style"/>
          <w:sz w:val="27"/>
          <w:szCs w:val="27"/>
          <w:lang w:val="es-CO"/>
        </w:rPr>
        <w:t xml:space="preserve">únicamente se acudió a una </w:t>
      </w:r>
      <w:r w:rsidR="00083242" w:rsidRPr="00DF767A">
        <w:rPr>
          <w:rFonts w:ascii="Bookman Old Style" w:hAnsi="Bookman Old Style"/>
          <w:sz w:val="27"/>
          <w:szCs w:val="27"/>
          <w:lang w:val="es-CO"/>
        </w:rPr>
        <w:t xml:space="preserve">interpretación </w:t>
      </w:r>
      <w:r w:rsidR="00EB2DAC" w:rsidRPr="00DF767A">
        <w:rPr>
          <w:rFonts w:ascii="Bookman Old Style" w:hAnsi="Bookman Old Style"/>
          <w:sz w:val="27"/>
          <w:szCs w:val="27"/>
          <w:lang w:val="es-CO"/>
        </w:rPr>
        <w:t xml:space="preserve">subjetiva de la norma </w:t>
      </w:r>
      <w:r w:rsidR="00EB2DAC" w:rsidRPr="00DF767A">
        <w:rPr>
          <w:rFonts w:ascii="Bookman Old Style" w:hAnsi="Bookman Old Style"/>
          <w:sz w:val="25"/>
          <w:szCs w:val="25"/>
          <w:lang w:val="es-CO"/>
        </w:rPr>
        <w:t xml:space="preserve">-guiada por el método histórico- </w:t>
      </w:r>
      <w:r w:rsidR="00135D38" w:rsidRPr="00DF767A">
        <w:rPr>
          <w:rFonts w:ascii="Bookman Old Style" w:hAnsi="Bookman Old Style"/>
          <w:sz w:val="27"/>
          <w:szCs w:val="27"/>
          <w:lang w:val="es-CO"/>
        </w:rPr>
        <w:t xml:space="preserve">sin consideración de </w:t>
      </w:r>
      <w:r w:rsidR="00740C4F" w:rsidRPr="00DF767A">
        <w:rPr>
          <w:rFonts w:ascii="Bookman Old Style" w:hAnsi="Bookman Old Style"/>
          <w:sz w:val="27"/>
          <w:szCs w:val="27"/>
          <w:lang w:val="es-CO"/>
        </w:rPr>
        <w:t>importantes</w:t>
      </w:r>
      <w:r w:rsidR="00DB51FD" w:rsidRPr="00DF767A">
        <w:rPr>
          <w:rFonts w:ascii="Bookman Old Style" w:hAnsi="Bookman Old Style"/>
          <w:sz w:val="27"/>
          <w:szCs w:val="27"/>
          <w:lang w:val="es-CO"/>
        </w:rPr>
        <w:t xml:space="preserve"> </w:t>
      </w:r>
      <w:r w:rsidR="00135D38" w:rsidRPr="00DF767A">
        <w:rPr>
          <w:rFonts w:ascii="Bookman Old Style" w:hAnsi="Bookman Old Style"/>
          <w:sz w:val="27"/>
          <w:szCs w:val="27"/>
          <w:lang w:val="es-CO"/>
        </w:rPr>
        <w:t xml:space="preserve">razones sistemáticas y teleológicas, suficientemente depuradas por la jurisprudencia especializada de la Corte Suprema, </w:t>
      </w:r>
      <w:r w:rsidR="007E2E86" w:rsidRPr="00DF767A">
        <w:rPr>
          <w:rFonts w:ascii="Bookman Old Style" w:hAnsi="Bookman Old Style"/>
          <w:sz w:val="27"/>
          <w:szCs w:val="27"/>
          <w:lang w:val="es-CO"/>
        </w:rPr>
        <w:t xml:space="preserve">concernientes a la vigencia de las medidas de aseguramiento, desde la perspectiva </w:t>
      </w:r>
      <w:r w:rsidR="007E2E86" w:rsidRPr="00DF767A">
        <w:rPr>
          <w:rFonts w:ascii="Bookman Old Style" w:hAnsi="Bookman Old Style"/>
          <w:i/>
          <w:sz w:val="27"/>
          <w:szCs w:val="27"/>
          <w:lang w:val="es-CO"/>
        </w:rPr>
        <w:t>material</w:t>
      </w:r>
      <w:r w:rsidR="007E2E86" w:rsidRPr="00DF767A">
        <w:rPr>
          <w:rFonts w:ascii="Bookman Old Style" w:hAnsi="Bookman Old Style"/>
          <w:sz w:val="27"/>
          <w:szCs w:val="27"/>
          <w:lang w:val="es-CO"/>
        </w:rPr>
        <w:t xml:space="preserve"> de su </w:t>
      </w:r>
      <w:r w:rsidR="007E2E86" w:rsidRPr="00DF767A">
        <w:rPr>
          <w:rFonts w:ascii="Bookman Old Style" w:hAnsi="Bookman Old Style"/>
          <w:i/>
          <w:sz w:val="27"/>
          <w:szCs w:val="27"/>
          <w:lang w:val="es-CO"/>
        </w:rPr>
        <w:t>fundamento procesal</w:t>
      </w:r>
      <w:r w:rsidR="007E2E86" w:rsidRPr="00DF767A">
        <w:rPr>
          <w:rFonts w:ascii="Bookman Old Style" w:hAnsi="Bookman Old Style"/>
          <w:sz w:val="27"/>
          <w:szCs w:val="27"/>
          <w:lang w:val="es-CO"/>
        </w:rPr>
        <w:t xml:space="preserve">. </w:t>
      </w:r>
    </w:p>
    <w:p w:rsidR="00A77C6D" w:rsidRPr="00DF767A" w:rsidRDefault="00A77C6D" w:rsidP="001350EC">
      <w:pPr>
        <w:spacing w:line="336" w:lineRule="auto"/>
        <w:ind w:firstLine="705"/>
        <w:jc w:val="both"/>
        <w:rPr>
          <w:rFonts w:ascii="Bookman Old Style" w:hAnsi="Bookman Old Style"/>
          <w:sz w:val="27"/>
          <w:szCs w:val="27"/>
          <w:lang w:val="es-CO"/>
        </w:rPr>
      </w:pPr>
    </w:p>
    <w:p w:rsidR="0096291A" w:rsidRPr="00DF767A" w:rsidRDefault="00A77C6D" w:rsidP="001350EC">
      <w:pPr>
        <w:spacing w:line="336" w:lineRule="auto"/>
        <w:ind w:firstLine="705"/>
        <w:jc w:val="both"/>
        <w:rPr>
          <w:rFonts w:ascii="Bookman Old Style" w:hAnsi="Bookman Old Style"/>
          <w:sz w:val="27"/>
          <w:szCs w:val="27"/>
          <w:lang w:val="es-CO"/>
        </w:rPr>
      </w:pPr>
      <w:r w:rsidRPr="00DF767A">
        <w:rPr>
          <w:rFonts w:ascii="Bookman Old Style" w:hAnsi="Bookman Old Style"/>
          <w:sz w:val="27"/>
          <w:szCs w:val="27"/>
          <w:lang w:val="es-CO"/>
        </w:rPr>
        <w:t xml:space="preserve">En efecto, </w:t>
      </w:r>
      <w:r w:rsidR="00CF4AB4" w:rsidRPr="00DF767A">
        <w:rPr>
          <w:rFonts w:ascii="Bookman Old Style" w:hAnsi="Bookman Old Style"/>
          <w:sz w:val="27"/>
          <w:szCs w:val="27"/>
          <w:lang w:val="es-CO"/>
        </w:rPr>
        <w:t>de manera pacífica y reiterada, la Sala</w:t>
      </w:r>
      <w:r w:rsidR="00860C50" w:rsidRPr="00DF767A">
        <w:rPr>
          <w:rFonts w:ascii="Bookman Old Style" w:hAnsi="Bookman Old Style"/>
          <w:sz w:val="27"/>
          <w:szCs w:val="27"/>
          <w:lang w:val="es-CO"/>
        </w:rPr>
        <w:t xml:space="preserve"> tiene dicho que, en consideración a la naturaleza </w:t>
      </w:r>
      <w:r w:rsidR="00860C50" w:rsidRPr="00DF767A">
        <w:rPr>
          <w:rFonts w:ascii="Bookman Old Style" w:hAnsi="Bookman Old Style"/>
          <w:i/>
          <w:sz w:val="27"/>
          <w:szCs w:val="27"/>
          <w:lang w:val="es-CO"/>
        </w:rPr>
        <w:t xml:space="preserve">cautelar </w:t>
      </w:r>
      <w:r w:rsidR="00860C50" w:rsidRPr="00DF767A">
        <w:rPr>
          <w:rFonts w:ascii="Bookman Old Style" w:hAnsi="Bookman Old Style"/>
          <w:sz w:val="27"/>
          <w:szCs w:val="27"/>
          <w:lang w:val="es-CO"/>
        </w:rPr>
        <w:t>de la detenci</w:t>
      </w:r>
      <w:r w:rsidR="009B54B7" w:rsidRPr="00DF767A">
        <w:rPr>
          <w:rFonts w:ascii="Bookman Old Style" w:hAnsi="Bookman Old Style"/>
          <w:sz w:val="27"/>
          <w:szCs w:val="27"/>
          <w:lang w:val="es-CO"/>
        </w:rPr>
        <w:t xml:space="preserve">ón preventiva, así como en vista de las finalidades a las que sirve en el proceso, tal medida de aseguramiento tiene vigencia hasta que se profiere la sentencia de primera instancia, si el proceso es tramitado por la Ley 600 de 2000, o hasta la </w:t>
      </w:r>
      <w:r w:rsidR="006B3125" w:rsidRPr="00DF767A">
        <w:rPr>
          <w:rFonts w:ascii="Bookman Old Style" w:hAnsi="Bookman Old Style"/>
          <w:sz w:val="27"/>
          <w:szCs w:val="27"/>
          <w:lang w:val="es-CO"/>
        </w:rPr>
        <w:t>lectura</w:t>
      </w:r>
      <w:r w:rsidR="009B54B7" w:rsidRPr="00DF767A">
        <w:rPr>
          <w:rFonts w:ascii="Bookman Old Style" w:hAnsi="Bookman Old Style"/>
          <w:sz w:val="27"/>
          <w:szCs w:val="27"/>
          <w:lang w:val="es-CO"/>
        </w:rPr>
        <w:t xml:space="preserve"> del fallo</w:t>
      </w:r>
      <w:r w:rsidR="006B3125" w:rsidRPr="00DF767A">
        <w:rPr>
          <w:rFonts w:ascii="Bookman Old Style" w:hAnsi="Bookman Old Style"/>
          <w:sz w:val="27"/>
          <w:szCs w:val="27"/>
          <w:lang w:val="es-CO"/>
        </w:rPr>
        <w:t xml:space="preserve"> de primera instancia</w:t>
      </w:r>
      <w:r w:rsidR="009B54B7" w:rsidRPr="00DF767A">
        <w:rPr>
          <w:rFonts w:ascii="Bookman Old Style" w:hAnsi="Bookman Old Style"/>
          <w:sz w:val="27"/>
          <w:szCs w:val="27"/>
          <w:lang w:val="es-CO"/>
        </w:rPr>
        <w:t xml:space="preserve">, si se aplica la Ley 906 de 2004. </w:t>
      </w:r>
    </w:p>
    <w:p w:rsidR="004674BE" w:rsidRPr="00DF767A" w:rsidRDefault="004674BE" w:rsidP="001350EC">
      <w:pPr>
        <w:spacing w:line="336" w:lineRule="auto"/>
        <w:ind w:firstLine="705"/>
        <w:jc w:val="both"/>
        <w:rPr>
          <w:rFonts w:ascii="Bookman Old Style" w:hAnsi="Bookman Old Style"/>
          <w:sz w:val="27"/>
          <w:szCs w:val="27"/>
          <w:lang w:val="es-CO"/>
        </w:rPr>
      </w:pPr>
      <w:r w:rsidRPr="00DF767A">
        <w:rPr>
          <w:rFonts w:ascii="Bookman Old Style" w:hAnsi="Bookman Old Style"/>
          <w:sz w:val="27"/>
          <w:szCs w:val="27"/>
          <w:lang w:val="es-CO"/>
        </w:rPr>
        <w:lastRenderedPageBreak/>
        <w:tab/>
        <w:t>En vigencia de la Ley 600 de 2000, la Sala clarificó que con la emisión de una sentencia condenatoria cesan los efectos jurídicos de la medida de aseguramiento, por lo que la</w:t>
      </w:r>
      <w:r w:rsidRPr="00DF767A">
        <w:rPr>
          <w:rFonts w:ascii="Bookman Old Style" w:hAnsi="Bookman Old Style"/>
          <w:i/>
          <w:sz w:val="27"/>
          <w:szCs w:val="27"/>
          <w:lang w:val="es-CO"/>
        </w:rPr>
        <w:t xml:space="preserve"> subsistencia</w:t>
      </w:r>
      <w:r w:rsidRPr="00DF767A">
        <w:rPr>
          <w:rFonts w:ascii="Bookman Old Style" w:hAnsi="Bookman Old Style"/>
          <w:sz w:val="27"/>
          <w:szCs w:val="27"/>
          <w:lang w:val="es-CO"/>
        </w:rPr>
        <w:t xml:space="preserve"> de la privación de la libertad del </w:t>
      </w:r>
      <w:r w:rsidRPr="00DF767A">
        <w:rPr>
          <w:rFonts w:ascii="Bookman Old Style" w:hAnsi="Bookman Old Style"/>
          <w:i/>
          <w:sz w:val="27"/>
          <w:szCs w:val="27"/>
          <w:lang w:val="es-CO"/>
        </w:rPr>
        <w:t>sentenciado</w:t>
      </w:r>
      <w:r w:rsidRPr="00DF767A">
        <w:rPr>
          <w:rFonts w:ascii="Bookman Old Style" w:hAnsi="Bookman Old Style"/>
          <w:sz w:val="27"/>
          <w:szCs w:val="27"/>
          <w:lang w:val="es-CO"/>
        </w:rPr>
        <w:t xml:space="preserve"> </w:t>
      </w:r>
      <w:r w:rsidR="007C7A06" w:rsidRPr="00DF767A">
        <w:rPr>
          <w:rFonts w:ascii="Bookman Old Style" w:hAnsi="Bookman Old Style"/>
          <w:sz w:val="27"/>
          <w:szCs w:val="27"/>
          <w:lang w:val="es-CO"/>
        </w:rPr>
        <w:t xml:space="preserve">encuentra un sustento material diverso. En tanto mecanismo cautelar, la detención sigue sirviendo </w:t>
      </w:r>
      <w:r w:rsidR="007C7A06" w:rsidRPr="00DF767A">
        <w:rPr>
          <w:rFonts w:ascii="Bookman Old Style" w:hAnsi="Bookman Old Style"/>
          <w:i/>
          <w:sz w:val="27"/>
          <w:szCs w:val="27"/>
          <w:lang w:val="es-CO"/>
        </w:rPr>
        <w:t>al proceso</w:t>
      </w:r>
      <w:r w:rsidR="007C7A06" w:rsidRPr="00DF767A">
        <w:rPr>
          <w:rFonts w:ascii="Bookman Old Style" w:hAnsi="Bookman Old Style"/>
          <w:sz w:val="27"/>
          <w:szCs w:val="27"/>
          <w:lang w:val="es-CO"/>
        </w:rPr>
        <w:t xml:space="preserve">, pero ya no en aspectos probatorios ni de comparecencia </w:t>
      </w:r>
      <w:r w:rsidR="007C7A06" w:rsidRPr="00DF767A">
        <w:rPr>
          <w:rFonts w:ascii="Bookman Old Style" w:hAnsi="Bookman Old Style"/>
          <w:i/>
          <w:sz w:val="27"/>
          <w:szCs w:val="27"/>
          <w:lang w:val="es-CO"/>
        </w:rPr>
        <w:t>stricto sensu</w:t>
      </w:r>
      <w:r w:rsidR="007C7A06" w:rsidRPr="00DF767A">
        <w:rPr>
          <w:rFonts w:ascii="Bookman Old Style" w:hAnsi="Bookman Old Style"/>
          <w:sz w:val="27"/>
          <w:szCs w:val="27"/>
          <w:lang w:val="es-CO"/>
        </w:rPr>
        <w:t xml:space="preserve">, sino al eventual cumplimiento de la pena privativa de la libertad </w:t>
      </w:r>
      <w:r w:rsidR="007C7A06" w:rsidRPr="00DF767A">
        <w:rPr>
          <w:rFonts w:ascii="Bookman Old Style" w:hAnsi="Bookman Old Style"/>
          <w:sz w:val="25"/>
          <w:szCs w:val="25"/>
          <w:lang w:val="es-CO"/>
        </w:rPr>
        <w:t>(art. 355 de Ley 600 de 2000)</w:t>
      </w:r>
      <w:r w:rsidR="007C7A06" w:rsidRPr="00DF767A">
        <w:rPr>
          <w:rFonts w:ascii="Bookman Old Style" w:hAnsi="Bookman Old Style"/>
          <w:sz w:val="27"/>
          <w:szCs w:val="27"/>
          <w:lang w:val="es-CO"/>
        </w:rPr>
        <w:t xml:space="preserve">. Esto, en la medida en que si bien </w:t>
      </w:r>
      <w:r w:rsidR="00227A8E" w:rsidRPr="00DF767A">
        <w:rPr>
          <w:rFonts w:ascii="Bookman Old Style" w:hAnsi="Bookman Old Style"/>
          <w:sz w:val="27"/>
          <w:szCs w:val="27"/>
          <w:lang w:val="es-CO"/>
        </w:rPr>
        <w:t xml:space="preserve">la presunción de inocencia sigue rigiendo hasta que cobre ejecutoria la declaración de responsabilidad penal </w:t>
      </w:r>
      <w:r w:rsidR="00227A8E" w:rsidRPr="00DF767A">
        <w:rPr>
          <w:rFonts w:ascii="Bookman Old Style" w:hAnsi="Bookman Old Style"/>
          <w:sz w:val="25"/>
          <w:szCs w:val="25"/>
          <w:lang w:val="es-CO"/>
        </w:rPr>
        <w:t>(art. 248 de la Constitución)</w:t>
      </w:r>
      <w:r w:rsidR="00227A8E" w:rsidRPr="00DF767A">
        <w:rPr>
          <w:rFonts w:ascii="Bookman Old Style" w:hAnsi="Bookman Old Style"/>
          <w:sz w:val="27"/>
          <w:szCs w:val="27"/>
          <w:lang w:val="es-CO"/>
        </w:rPr>
        <w:t>, no es menos cierto que</w:t>
      </w:r>
      <w:r w:rsidR="000A077B" w:rsidRPr="00DF767A">
        <w:rPr>
          <w:rFonts w:ascii="Bookman Old Style" w:hAnsi="Bookman Old Style"/>
          <w:sz w:val="27"/>
          <w:szCs w:val="27"/>
          <w:lang w:val="es-CO"/>
        </w:rPr>
        <w:t>,</w:t>
      </w:r>
      <w:r w:rsidR="00227A8E" w:rsidRPr="00DF767A">
        <w:rPr>
          <w:rFonts w:ascii="Bookman Old Style" w:hAnsi="Bookman Old Style"/>
          <w:sz w:val="27"/>
          <w:szCs w:val="27"/>
          <w:lang w:val="es-CO"/>
        </w:rPr>
        <w:t xml:space="preserve"> al dictarse una condena en primera instancia, ya existe una dec</w:t>
      </w:r>
      <w:r w:rsidR="005E52BA" w:rsidRPr="00DF767A">
        <w:rPr>
          <w:rFonts w:ascii="Bookman Old Style" w:hAnsi="Bookman Old Style"/>
          <w:sz w:val="27"/>
          <w:szCs w:val="27"/>
          <w:lang w:val="es-CO"/>
        </w:rPr>
        <w:t>isión</w:t>
      </w:r>
      <w:r w:rsidR="00227A8E" w:rsidRPr="00DF767A">
        <w:rPr>
          <w:rFonts w:ascii="Bookman Old Style" w:hAnsi="Bookman Old Style"/>
          <w:sz w:val="27"/>
          <w:szCs w:val="27"/>
          <w:lang w:val="es-CO"/>
        </w:rPr>
        <w:t xml:space="preserve"> judicial</w:t>
      </w:r>
      <w:r w:rsidR="005E52BA" w:rsidRPr="00DF767A">
        <w:rPr>
          <w:rFonts w:ascii="Bookman Old Style" w:hAnsi="Bookman Old Style"/>
          <w:sz w:val="27"/>
          <w:szCs w:val="27"/>
          <w:lang w:val="es-CO"/>
        </w:rPr>
        <w:t xml:space="preserve"> </w:t>
      </w:r>
      <w:r w:rsidR="00227A8E" w:rsidRPr="00DF767A">
        <w:rPr>
          <w:rFonts w:ascii="Bookman Old Style" w:hAnsi="Bookman Old Style"/>
          <w:sz w:val="27"/>
          <w:szCs w:val="27"/>
          <w:lang w:val="es-CO"/>
        </w:rPr>
        <w:t xml:space="preserve">sobre la responsabilidad penal de quien es sentenciado, </w:t>
      </w:r>
      <w:r w:rsidR="005E52BA" w:rsidRPr="00DF767A">
        <w:rPr>
          <w:rFonts w:ascii="Bookman Old Style" w:hAnsi="Bookman Old Style"/>
          <w:sz w:val="27"/>
          <w:szCs w:val="27"/>
          <w:lang w:val="es-CO"/>
        </w:rPr>
        <w:t xml:space="preserve">por lo que las determinaciones de condena son de </w:t>
      </w:r>
      <w:r w:rsidR="005E52BA" w:rsidRPr="00DF767A">
        <w:rPr>
          <w:rFonts w:ascii="Bookman Old Style" w:hAnsi="Bookman Old Style"/>
          <w:i/>
          <w:sz w:val="27"/>
          <w:szCs w:val="27"/>
          <w:lang w:val="es-CO"/>
        </w:rPr>
        <w:t xml:space="preserve">cumplimiento inmediato </w:t>
      </w:r>
      <w:r w:rsidR="005E52BA" w:rsidRPr="00DF767A">
        <w:rPr>
          <w:rFonts w:ascii="Bookman Old Style" w:hAnsi="Bookman Old Style"/>
          <w:sz w:val="25"/>
          <w:szCs w:val="25"/>
          <w:lang w:val="es-CO"/>
        </w:rPr>
        <w:t xml:space="preserve">(art. 188 inc. 1º </w:t>
      </w:r>
      <w:r w:rsidR="005E52BA" w:rsidRPr="00DF767A">
        <w:rPr>
          <w:rFonts w:ascii="Bookman Old Style" w:hAnsi="Bookman Old Style"/>
          <w:i/>
          <w:sz w:val="25"/>
          <w:szCs w:val="25"/>
          <w:lang w:val="es-CO"/>
        </w:rPr>
        <w:t>ídem</w:t>
      </w:r>
      <w:r w:rsidR="005E52BA" w:rsidRPr="00DF767A">
        <w:rPr>
          <w:rFonts w:ascii="Bookman Old Style" w:hAnsi="Bookman Old Style"/>
          <w:sz w:val="25"/>
          <w:szCs w:val="25"/>
          <w:lang w:val="es-CO"/>
        </w:rPr>
        <w:t>)</w:t>
      </w:r>
      <w:r w:rsidR="005E52BA" w:rsidRPr="00DF767A">
        <w:rPr>
          <w:rFonts w:ascii="Bookman Old Style" w:hAnsi="Bookman Old Style"/>
          <w:i/>
          <w:sz w:val="27"/>
          <w:szCs w:val="27"/>
          <w:lang w:val="es-CO"/>
        </w:rPr>
        <w:t xml:space="preserve">. </w:t>
      </w:r>
    </w:p>
    <w:p w:rsidR="007604C4" w:rsidRPr="00DF767A" w:rsidRDefault="007604C4" w:rsidP="001350EC">
      <w:pPr>
        <w:spacing w:line="336" w:lineRule="auto"/>
        <w:ind w:firstLine="705"/>
        <w:jc w:val="both"/>
        <w:rPr>
          <w:rFonts w:ascii="Bookman Old Style" w:hAnsi="Bookman Old Style"/>
          <w:sz w:val="27"/>
          <w:szCs w:val="27"/>
          <w:lang w:val="es-CO"/>
        </w:rPr>
      </w:pPr>
    </w:p>
    <w:p w:rsidR="007604C4" w:rsidRPr="00DF767A" w:rsidRDefault="007604C4" w:rsidP="007604C4">
      <w:pPr>
        <w:spacing w:line="336" w:lineRule="auto"/>
        <w:ind w:firstLine="705"/>
        <w:jc w:val="both"/>
        <w:rPr>
          <w:rFonts w:ascii="Bookman Old Style" w:hAnsi="Bookman Old Style"/>
          <w:sz w:val="27"/>
          <w:szCs w:val="27"/>
          <w:lang w:val="es-CO"/>
        </w:rPr>
      </w:pPr>
      <w:r w:rsidRPr="00DF767A">
        <w:rPr>
          <w:rFonts w:ascii="Bookman Old Style" w:hAnsi="Bookman Old Style"/>
          <w:sz w:val="27"/>
          <w:szCs w:val="27"/>
          <w:lang w:val="es-CO"/>
        </w:rPr>
        <w:tab/>
        <w:t xml:space="preserve">Sobre el particular, en el </w:t>
      </w:r>
      <w:r w:rsidRPr="00DF767A">
        <w:rPr>
          <w:rFonts w:ascii="Bookman Old Style" w:hAnsi="Bookman Old Style"/>
          <w:sz w:val="27"/>
          <w:szCs w:val="27"/>
        </w:rPr>
        <w:t xml:space="preserve">CSJ AP 6 abr. 2006, rad. 24.110 textualmente expuso la Corte: </w:t>
      </w:r>
    </w:p>
    <w:p w:rsidR="004674BE" w:rsidRPr="00DF767A" w:rsidRDefault="004674BE" w:rsidP="004674BE">
      <w:pPr>
        <w:spacing w:line="336" w:lineRule="auto"/>
        <w:ind w:right="51" w:firstLine="851"/>
        <w:jc w:val="both"/>
        <w:rPr>
          <w:rFonts w:ascii="Bookman Old Style" w:hAnsi="Bookman Old Style"/>
          <w:sz w:val="27"/>
          <w:szCs w:val="27"/>
          <w:lang w:val="es-CO"/>
        </w:rPr>
      </w:pPr>
    </w:p>
    <w:p w:rsidR="004674BE" w:rsidRPr="00DF767A" w:rsidRDefault="004674BE" w:rsidP="005E52BA">
      <w:pPr>
        <w:pStyle w:val="Puesto"/>
        <w:ind w:left="851" w:right="616"/>
        <w:jc w:val="both"/>
        <w:rPr>
          <w:rFonts w:ascii="Bookman Old Style" w:hAnsi="Bookman Old Style"/>
          <w:sz w:val="24"/>
          <w:szCs w:val="24"/>
        </w:rPr>
      </w:pPr>
      <w:r w:rsidRPr="00DF767A">
        <w:rPr>
          <w:rFonts w:ascii="Bookman Old Style" w:hAnsi="Bookman Old Style"/>
          <w:sz w:val="24"/>
          <w:szCs w:val="24"/>
        </w:rPr>
        <w:t>La Sala se abstendrá de revocar la medida de aseguramiento… ya que al haberse proferido sentencia cesaron sus efectos jurídicos y la privación de…</w:t>
      </w:r>
      <w:r w:rsidR="005E52BA" w:rsidRPr="00DF767A">
        <w:rPr>
          <w:rFonts w:ascii="Bookman Old Style" w:hAnsi="Bookman Old Style"/>
          <w:sz w:val="24"/>
          <w:szCs w:val="24"/>
        </w:rPr>
        <w:t xml:space="preserve"> </w:t>
      </w:r>
      <w:r w:rsidRPr="00DF767A">
        <w:rPr>
          <w:rFonts w:ascii="Bookman Old Style" w:hAnsi="Bookman Old Style"/>
          <w:sz w:val="24"/>
          <w:szCs w:val="24"/>
        </w:rPr>
        <w:t>[la] libertad se rige por lo dispuesto en ésta.</w:t>
      </w:r>
    </w:p>
    <w:p w:rsidR="004674BE" w:rsidRPr="00DF767A" w:rsidRDefault="004674BE" w:rsidP="005E52BA">
      <w:pPr>
        <w:ind w:right="616"/>
        <w:rPr>
          <w:sz w:val="24"/>
          <w:szCs w:val="24"/>
        </w:rPr>
      </w:pPr>
    </w:p>
    <w:p w:rsidR="004674BE" w:rsidRPr="00DF767A" w:rsidRDefault="004674BE" w:rsidP="005E52BA">
      <w:pPr>
        <w:pStyle w:val="Puesto"/>
        <w:ind w:left="851" w:right="616"/>
        <w:jc w:val="both"/>
        <w:rPr>
          <w:rFonts w:ascii="Bookman Old Style" w:hAnsi="Bookman Old Style"/>
          <w:b/>
          <w:sz w:val="24"/>
          <w:szCs w:val="24"/>
        </w:rPr>
      </w:pPr>
      <w:r w:rsidRPr="00DF767A">
        <w:rPr>
          <w:rFonts w:ascii="Bookman Old Style" w:hAnsi="Bookman Old Style"/>
          <w:sz w:val="24"/>
          <w:szCs w:val="24"/>
        </w:rPr>
        <w:t xml:space="preserve">En principio, adviértase que las decisiones que en el sistema procesal penal regido por la Ley 600 de 2000 autorizan la privación de la libertad son las que imponen i) la </w:t>
      </w:r>
      <w:r w:rsidRPr="00DF767A">
        <w:rPr>
          <w:rFonts w:ascii="Bookman Old Style" w:hAnsi="Bookman Old Style"/>
          <w:b/>
          <w:i/>
          <w:sz w:val="24"/>
          <w:szCs w:val="24"/>
        </w:rPr>
        <w:t>medida de aseguramiento</w:t>
      </w:r>
      <w:r w:rsidRPr="00DF767A">
        <w:rPr>
          <w:rFonts w:ascii="Bookman Old Style" w:hAnsi="Bookman Old Style"/>
          <w:sz w:val="24"/>
          <w:szCs w:val="24"/>
        </w:rPr>
        <w:t xml:space="preserve"> a partir</w:t>
      </w:r>
      <w:r w:rsidR="005E52BA" w:rsidRPr="00DF767A">
        <w:rPr>
          <w:rFonts w:ascii="Bookman Old Style" w:hAnsi="Bookman Old Style"/>
          <w:sz w:val="24"/>
          <w:szCs w:val="24"/>
        </w:rPr>
        <w:t xml:space="preserve"> del cumplimiento de sus fines -</w:t>
      </w:r>
      <w:r w:rsidRPr="00DF767A">
        <w:rPr>
          <w:rFonts w:ascii="Bookman Old Style" w:hAnsi="Bookman Old Style"/>
          <w:sz w:val="24"/>
          <w:szCs w:val="24"/>
        </w:rPr>
        <w:t>artículo 355</w:t>
      </w:r>
      <w:r w:rsidR="005E52BA" w:rsidRPr="00DF767A">
        <w:rPr>
          <w:rFonts w:ascii="Bookman Old Style" w:hAnsi="Bookman Old Style"/>
          <w:sz w:val="24"/>
          <w:szCs w:val="24"/>
        </w:rPr>
        <w:t>-</w:t>
      </w:r>
      <w:r w:rsidRPr="00DF767A">
        <w:rPr>
          <w:rFonts w:ascii="Bookman Old Style" w:hAnsi="Bookman Old Style"/>
          <w:sz w:val="24"/>
          <w:szCs w:val="24"/>
        </w:rPr>
        <w:t xml:space="preserve"> y de sus re</w:t>
      </w:r>
      <w:r w:rsidR="005E52BA" w:rsidRPr="00DF767A">
        <w:rPr>
          <w:rFonts w:ascii="Bookman Old Style" w:hAnsi="Bookman Old Style"/>
          <w:sz w:val="24"/>
          <w:szCs w:val="24"/>
        </w:rPr>
        <w:t xml:space="preserve">quisitos formales y materiales -artículo 356- </w:t>
      </w:r>
      <w:r w:rsidRPr="00DF767A">
        <w:rPr>
          <w:rFonts w:ascii="Bookman Old Style" w:hAnsi="Bookman Old Style"/>
          <w:sz w:val="24"/>
          <w:szCs w:val="24"/>
        </w:rPr>
        <w:t xml:space="preserve">y ii) </w:t>
      </w:r>
      <w:r w:rsidRPr="00DF767A">
        <w:rPr>
          <w:rFonts w:ascii="Bookman Old Style" w:hAnsi="Bookman Old Style"/>
          <w:b/>
          <w:i/>
          <w:sz w:val="24"/>
          <w:szCs w:val="24"/>
        </w:rPr>
        <w:t>la sentencia</w:t>
      </w:r>
      <w:r w:rsidRPr="00DF767A">
        <w:rPr>
          <w:rFonts w:ascii="Bookman Old Style" w:hAnsi="Bookman Old Style"/>
          <w:sz w:val="24"/>
          <w:szCs w:val="24"/>
        </w:rPr>
        <w:t xml:space="preserve"> mediante la cual se condena “</w:t>
      </w:r>
      <w:r w:rsidRPr="00DF767A">
        <w:rPr>
          <w:rFonts w:ascii="Bookman Old Style" w:hAnsi="Bookman Old Style"/>
          <w:i/>
          <w:sz w:val="24"/>
          <w:szCs w:val="24"/>
        </w:rPr>
        <w:t>a las penas principal o sustitutivas</w:t>
      </w:r>
      <w:r w:rsidR="005E52BA" w:rsidRPr="00DF767A">
        <w:rPr>
          <w:rFonts w:ascii="Bookman Old Style" w:hAnsi="Bookman Old Style"/>
          <w:sz w:val="24"/>
          <w:szCs w:val="24"/>
        </w:rPr>
        <w:t>” que correspondan -numeral 7 artículo 170-</w:t>
      </w:r>
      <w:r w:rsidRPr="00DF767A">
        <w:rPr>
          <w:rFonts w:ascii="Bookman Old Style" w:hAnsi="Bookman Old Style"/>
          <w:sz w:val="24"/>
          <w:szCs w:val="24"/>
        </w:rPr>
        <w:t xml:space="preserve"> </w:t>
      </w:r>
      <w:r w:rsidRPr="00DF767A">
        <w:rPr>
          <w:rFonts w:ascii="Bookman Old Style" w:hAnsi="Bookman Old Style"/>
          <w:b/>
          <w:i/>
          <w:sz w:val="24"/>
          <w:szCs w:val="24"/>
        </w:rPr>
        <w:t>por la declaración de responsabilidad penal</w:t>
      </w:r>
      <w:r w:rsidRPr="00DF767A">
        <w:rPr>
          <w:rFonts w:ascii="Bookman Old Style" w:hAnsi="Bookman Old Style"/>
          <w:sz w:val="24"/>
          <w:szCs w:val="24"/>
        </w:rPr>
        <w:t>.</w:t>
      </w:r>
    </w:p>
    <w:p w:rsidR="004674BE" w:rsidRPr="00DF767A" w:rsidRDefault="004674BE" w:rsidP="005E52BA">
      <w:pPr>
        <w:pStyle w:val="Puesto"/>
        <w:ind w:left="851" w:right="616"/>
        <w:jc w:val="both"/>
        <w:rPr>
          <w:rFonts w:ascii="Bookman Old Style" w:hAnsi="Bookman Old Style"/>
          <w:b/>
          <w:sz w:val="24"/>
          <w:szCs w:val="24"/>
        </w:rPr>
      </w:pPr>
      <w:r w:rsidRPr="00DF767A">
        <w:rPr>
          <w:rFonts w:ascii="Bookman Old Style" w:hAnsi="Bookman Old Style"/>
          <w:sz w:val="24"/>
          <w:szCs w:val="24"/>
        </w:rPr>
        <w:lastRenderedPageBreak/>
        <w:t xml:space="preserve">De manera que si la detención preventiva en su carácter de medida de aseguramiento al igual que la prisión en su condición  de  pena  principal  </w:t>
      </w:r>
      <w:r w:rsidR="005E52BA" w:rsidRPr="00DF767A">
        <w:rPr>
          <w:rFonts w:ascii="Bookman Old Style" w:hAnsi="Bookman Old Style"/>
          <w:sz w:val="24"/>
          <w:szCs w:val="24"/>
        </w:rPr>
        <w:t>-</w:t>
      </w:r>
      <w:r w:rsidRPr="00DF767A">
        <w:rPr>
          <w:rFonts w:ascii="Bookman Old Style" w:hAnsi="Bookman Old Style"/>
          <w:sz w:val="24"/>
          <w:szCs w:val="24"/>
        </w:rPr>
        <w:t xml:space="preserve">artículo  35  de  la   Ley </w:t>
      </w:r>
      <w:r w:rsidR="005E52BA" w:rsidRPr="00DF767A">
        <w:rPr>
          <w:rFonts w:ascii="Bookman Old Style" w:hAnsi="Bookman Old Style"/>
          <w:sz w:val="24"/>
          <w:szCs w:val="24"/>
        </w:rPr>
        <w:t xml:space="preserve"> 599 de 2000-</w:t>
      </w:r>
      <w:r w:rsidRPr="00DF767A">
        <w:rPr>
          <w:rFonts w:ascii="Bookman Old Style" w:hAnsi="Bookman Old Style"/>
          <w:sz w:val="24"/>
          <w:szCs w:val="24"/>
        </w:rPr>
        <w:t xml:space="preserve">  y  la  prisión  domiciliaria  como  sustitutiva  de </w:t>
      </w:r>
      <w:r w:rsidR="005E52BA" w:rsidRPr="00DF767A">
        <w:rPr>
          <w:rFonts w:ascii="Bookman Old Style" w:hAnsi="Bookman Old Style"/>
          <w:sz w:val="24"/>
          <w:szCs w:val="24"/>
        </w:rPr>
        <w:t xml:space="preserve">ésta -artículo 36 </w:t>
      </w:r>
      <w:r w:rsidR="005E52BA" w:rsidRPr="00DF767A">
        <w:rPr>
          <w:rFonts w:ascii="Bookman Old Style" w:hAnsi="Bookman Old Style"/>
          <w:i/>
          <w:sz w:val="24"/>
          <w:szCs w:val="24"/>
        </w:rPr>
        <w:t>ibídem</w:t>
      </w:r>
      <w:r w:rsidR="005E52BA" w:rsidRPr="00DF767A">
        <w:rPr>
          <w:rFonts w:ascii="Bookman Old Style" w:hAnsi="Bookman Old Style"/>
          <w:sz w:val="24"/>
          <w:szCs w:val="24"/>
        </w:rPr>
        <w:t>-</w:t>
      </w:r>
      <w:r w:rsidRPr="00DF767A">
        <w:rPr>
          <w:rFonts w:ascii="Bookman Old Style" w:hAnsi="Bookman Old Style"/>
          <w:sz w:val="24"/>
          <w:szCs w:val="24"/>
        </w:rPr>
        <w:t xml:space="preserve"> afectan la libertad personal, las providencias relacionadas con alguna de ellas son de cumplimiento inmediato.</w:t>
      </w:r>
    </w:p>
    <w:p w:rsidR="004674BE" w:rsidRPr="00DF767A" w:rsidRDefault="004674BE" w:rsidP="005E52BA">
      <w:pPr>
        <w:pStyle w:val="Puesto"/>
        <w:ind w:left="851" w:right="616" w:firstLine="567"/>
        <w:jc w:val="both"/>
        <w:rPr>
          <w:rFonts w:ascii="Bookman Old Style" w:hAnsi="Bookman Old Style"/>
          <w:b/>
          <w:sz w:val="24"/>
          <w:szCs w:val="24"/>
        </w:rPr>
      </w:pPr>
    </w:p>
    <w:p w:rsidR="004674BE" w:rsidRPr="00DF767A" w:rsidRDefault="004674BE" w:rsidP="005E52BA">
      <w:pPr>
        <w:pStyle w:val="Puesto"/>
        <w:ind w:left="851" w:right="616"/>
        <w:jc w:val="both"/>
        <w:rPr>
          <w:rFonts w:ascii="Bookman Old Style" w:hAnsi="Bookman Old Style"/>
          <w:b/>
          <w:sz w:val="24"/>
          <w:szCs w:val="24"/>
        </w:rPr>
      </w:pPr>
      <w:r w:rsidRPr="00DF767A">
        <w:rPr>
          <w:rFonts w:ascii="Bookman Old Style" w:hAnsi="Bookman Old Style"/>
          <w:sz w:val="24"/>
          <w:szCs w:val="24"/>
        </w:rPr>
        <w:t>Así se dispone en el inciso 1º del artículo 188 de la Ley 600 de 2000, conforme al cual las providencias relativas a la libertad y detención y las que ordenan medidas preventivas se cumplirán de inmediato. La disposición citada incluye tanto a la medida de aseguramiento como a la sentencia, de ahí que en su inciso segundo establezca expresamente una excepción a ese principio general.</w:t>
      </w:r>
    </w:p>
    <w:p w:rsidR="004674BE" w:rsidRPr="00DF767A" w:rsidRDefault="004674BE" w:rsidP="005E52BA">
      <w:pPr>
        <w:pStyle w:val="Puesto"/>
        <w:ind w:left="851" w:right="616" w:firstLine="567"/>
        <w:jc w:val="both"/>
        <w:rPr>
          <w:rFonts w:ascii="Bookman Old Style" w:hAnsi="Bookman Old Style"/>
          <w:b/>
          <w:sz w:val="24"/>
          <w:szCs w:val="24"/>
        </w:rPr>
      </w:pPr>
    </w:p>
    <w:p w:rsidR="004674BE" w:rsidRPr="00DF767A" w:rsidRDefault="004674BE" w:rsidP="005E52BA">
      <w:pPr>
        <w:pStyle w:val="Puesto"/>
        <w:ind w:left="851" w:right="616"/>
        <w:jc w:val="both"/>
        <w:rPr>
          <w:rFonts w:ascii="Bookman Old Style" w:hAnsi="Bookman Old Style"/>
          <w:b/>
          <w:sz w:val="24"/>
          <w:szCs w:val="24"/>
        </w:rPr>
      </w:pPr>
      <w:r w:rsidRPr="00DF767A">
        <w:rPr>
          <w:rFonts w:ascii="Bookman Old Style" w:hAnsi="Bookman Old Style"/>
          <w:sz w:val="24"/>
          <w:szCs w:val="24"/>
        </w:rPr>
        <w:t xml:space="preserve">De ello se infiere que </w:t>
      </w:r>
      <w:r w:rsidRPr="00DF767A">
        <w:rPr>
          <w:rFonts w:ascii="Bookman Old Style" w:hAnsi="Bookman Old Style"/>
          <w:b/>
          <w:i/>
          <w:sz w:val="24"/>
          <w:szCs w:val="24"/>
        </w:rPr>
        <w:t>la medida de aseguramiento únicamente surte efectos jurídicos hasta el momento en que se profiera la sentencia, con independencia de su ejecutoria</w:t>
      </w:r>
      <w:r w:rsidRPr="00DF767A">
        <w:rPr>
          <w:rFonts w:ascii="Bookman Old Style" w:hAnsi="Bookman Old Style"/>
          <w:sz w:val="24"/>
          <w:szCs w:val="24"/>
        </w:rPr>
        <w:t>, pues la limitante prevista en el citado inciso que impide hacer efectiva la sanción hasta cuando no se produzca aquélla está vinculada estrechamente con la libertad y no con la medida precautelar carente de eficacia, pues de lo contrario no se hallaría en esa situación.</w:t>
      </w:r>
    </w:p>
    <w:p w:rsidR="004674BE" w:rsidRPr="00DF767A" w:rsidRDefault="004674BE" w:rsidP="005E52BA">
      <w:pPr>
        <w:pStyle w:val="Puesto"/>
        <w:ind w:left="851" w:right="616" w:firstLine="567"/>
        <w:jc w:val="both"/>
        <w:rPr>
          <w:rFonts w:ascii="Bookman Old Style" w:hAnsi="Bookman Old Style"/>
          <w:b/>
          <w:sz w:val="24"/>
          <w:szCs w:val="24"/>
        </w:rPr>
      </w:pPr>
    </w:p>
    <w:p w:rsidR="004674BE" w:rsidRPr="00DF767A" w:rsidRDefault="004674BE" w:rsidP="005E52BA">
      <w:pPr>
        <w:pStyle w:val="Puesto"/>
        <w:ind w:left="851" w:right="616"/>
        <w:jc w:val="both"/>
        <w:rPr>
          <w:rFonts w:ascii="Bookman Old Style" w:hAnsi="Bookman Old Style"/>
          <w:b/>
          <w:sz w:val="24"/>
          <w:szCs w:val="24"/>
        </w:rPr>
      </w:pPr>
      <w:r w:rsidRPr="00DF767A">
        <w:rPr>
          <w:rFonts w:ascii="Bookman Old Style" w:hAnsi="Bookman Old Style"/>
          <w:sz w:val="24"/>
          <w:szCs w:val="24"/>
        </w:rPr>
        <w:t>Ahora bien, como en la sentencia</w:t>
      </w:r>
      <w:r w:rsidR="005E52BA" w:rsidRPr="00DF767A">
        <w:rPr>
          <w:rFonts w:ascii="Bookman Old Style" w:hAnsi="Bookman Old Style"/>
          <w:sz w:val="24"/>
          <w:szCs w:val="24"/>
        </w:rPr>
        <w:t>,</w:t>
      </w:r>
      <w:r w:rsidRPr="00DF767A">
        <w:rPr>
          <w:rFonts w:ascii="Bookman Old Style" w:hAnsi="Bookman Old Style"/>
          <w:sz w:val="24"/>
          <w:szCs w:val="24"/>
        </w:rPr>
        <w:t xml:space="preserve"> además de definirse la responsabilidad penal del acusado</w:t>
      </w:r>
      <w:r w:rsidR="005E52BA" w:rsidRPr="00DF767A">
        <w:rPr>
          <w:rFonts w:ascii="Bookman Old Style" w:hAnsi="Bookman Old Style"/>
          <w:sz w:val="24"/>
          <w:szCs w:val="24"/>
        </w:rPr>
        <w:t>,</w:t>
      </w:r>
      <w:r w:rsidRPr="00DF767A">
        <w:rPr>
          <w:rFonts w:ascii="Bookman Old Style" w:hAnsi="Bookman Old Style"/>
          <w:sz w:val="24"/>
          <w:szCs w:val="24"/>
        </w:rPr>
        <w:t xml:space="preserve"> deben señalarse las consecuencias derivadas de la comisión de la conducta punible una vez estableci</w:t>
      </w:r>
      <w:r w:rsidR="005E52BA" w:rsidRPr="00DF767A">
        <w:rPr>
          <w:rFonts w:ascii="Bookman Old Style" w:hAnsi="Bookman Old Style"/>
          <w:sz w:val="24"/>
          <w:szCs w:val="24"/>
        </w:rPr>
        <w:t>da aquélla, resulta imperativo –</w:t>
      </w:r>
      <w:r w:rsidRPr="00DF767A">
        <w:rPr>
          <w:rFonts w:ascii="Bookman Old Style" w:hAnsi="Bookman Old Style"/>
          <w:sz w:val="24"/>
          <w:szCs w:val="24"/>
        </w:rPr>
        <w:t>asimismo</w:t>
      </w:r>
      <w:r w:rsidR="005E52BA" w:rsidRPr="00DF767A">
        <w:rPr>
          <w:rFonts w:ascii="Bookman Old Style" w:hAnsi="Bookman Old Style"/>
          <w:sz w:val="24"/>
          <w:szCs w:val="24"/>
        </w:rPr>
        <w:t>-</w:t>
      </w:r>
      <w:r w:rsidRPr="00DF767A">
        <w:rPr>
          <w:rFonts w:ascii="Bookman Old Style" w:hAnsi="Bookman Old Style"/>
          <w:sz w:val="24"/>
          <w:szCs w:val="24"/>
        </w:rPr>
        <w:t xml:space="preserve"> adoptar todas las decisiones concernientes a la libertad de la persona, entre las cuales se encuentran la determinación de la pena principal, sus sustitutos y los mecanismos sustitutivos de la prisión.</w:t>
      </w:r>
    </w:p>
    <w:p w:rsidR="004674BE" w:rsidRPr="00DF767A" w:rsidRDefault="004674BE" w:rsidP="004674BE">
      <w:pPr>
        <w:pStyle w:val="Puesto"/>
        <w:ind w:left="851" w:right="51" w:firstLine="567"/>
        <w:jc w:val="both"/>
        <w:rPr>
          <w:rFonts w:ascii="Bookman Old Style" w:hAnsi="Bookman Old Style"/>
          <w:b/>
          <w:sz w:val="24"/>
          <w:szCs w:val="24"/>
        </w:rPr>
      </w:pPr>
    </w:p>
    <w:p w:rsidR="00EA43D9" w:rsidRPr="00DF767A" w:rsidRDefault="005E52BA" w:rsidP="005E52BA">
      <w:pPr>
        <w:pStyle w:val="Puesto"/>
        <w:spacing w:line="336" w:lineRule="auto"/>
        <w:ind w:right="51"/>
        <w:jc w:val="both"/>
        <w:rPr>
          <w:rFonts w:ascii="Bookman Old Style" w:hAnsi="Bookman Old Style"/>
          <w:sz w:val="27"/>
          <w:szCs w:val="27"/>
        </w:rPr>
      </w:pPr>
      <w:r w:rsidRPr="00DF767A">
        <w:rPr>
          <w:rFonts w:ascii="Bookman Old Style" w:hAnsi="Bookman Old Style"/>
          <w:sz w:val="27"/>
          <w:szCs w:val="27"/>
        </w:rPr>
        <w:tab/>
        <w:t>Además</w:t>
      </w:r>
      <w:r w:rsidR="00EA43D9" w:rsidRPr="00DF767A">
        <w:rPr>
          <w:rFonts w:ascii="Bookman Old Style" w:hAnsi="Bookman Old Style"/>
          <w:sz w:val="27"/>
          <w:szCs w:val="27"/>
        </w:rPr>
        <w:t xml:space="preserve">, que la aplicación de mecanismos como la suspensión condicional de la ejecución de la pena y la sustitución de la </w:t>
      </w:r>
      <w:r w:rsidR="00EA43D9" w:rsidRPr="00DF767A">
        <w:rPr>
          <w:rFonts w:ascii="Bookman Old Style" w:hAnsi="Bookman Old Style"/>
          <w:i/>
          <w:sz w:val="27"/>
          <w:szCs w:val="27"/>
        </w:rPr>
        <w:t>pena</w:t>
      </w:r>
      <w:r w:rsidR="00EA43D9" w:rsidRPr="00DF767A">
        <w:rPr>
          <w:rFonts w:ascii="Bookman Old Style" w:hAnsi="Bookman Old Style"/>
          <w:sz w:val="27"/>
          <w:szCs w:val="27"/>
        </w:rPr>
        <w:t xml:space="preserve"> de prisión por reclusión domiciliaria derive de la sentencia condenatoria, es muestra de que la restricción de </w:t>
      </w:r>
      <w:r w:rsidR="0084382B" w:rsidRPr="00DF767A">
        <w:rPr>
          <w:rFonts w:ascii="Bookman Old Style" w:hAnsi="Bookman Old Style"/>
          <w:sz w:val="27"/>
          <w:szCs w:val="27"/>
        </w:rPr>
        <w:t>la libertad</w:t>
      </w:r>
      <w:r w:rsidR="00EA43D9" w:rsidRPr="00DF767A">
        <w:rPr>
          <w:rFonts w:ascii="Bookman Old Style" w:hAnsi="Bookman Old Style"/>
          <w:sz w:val="27"/>
          <w:szCs w:val="27"/>
        </w:rPr>
        <w:t xml:space="preserve"> mediante tales mecanismos no tiene su fundamento en la </w:t>
      </w:r>
      <w:r w:rsidR="00EA43D9" w:rsidRPr="00DF767A">
        <w:rPr>
          <w:rFonts w:ascii="Bookman Old Style" w:hAnsi="Bookman Old Style"/>
          <w:i/>
          <w:sz w:val="27"/>
          <w:szCs w:val="27"/>
        </w:rPr>
        <w:t xml:space="preserve">medida de aseguramiento. </w:t>
      </w:r>
      <w:r w:rsidR="00EA43D9" w:rsidRPr="00DF767A">
        <w:rPr>
          <w:rFonts w:ascii="Bookman Old Style" w:hAnsi="Bookman Old Style"/>
          <w:sz w:val="27"/>
          <w:szCs w:val="27"/>
        </w:rPr>
        <w:t xml:space="preserve">A ese respecto, se lee en la referida decisión: </w:t>
      </w:r>
    </w:p>
    <w:p w:rsidR="004674BE" w:rsidRPr="00DF767A" w:rsidRDefault="004674BE" w:rsidP="005E52BA">
      <w:pPr>
        <w:pStyle w:val="Puesto"/>
        <w:ind w:left="851" w:right="51"/>
        <w:jc w:val="both"/>
        <w:rPr>
          <w:rFonts w:ascii="Bookman Old Style" w:hAnsi="Bookman Old Style"/>
          <w:b/>
          <w:sz w:val="24"/>
          <w:szCs w:val="24"/>
        </w:rPr>
      </w:pPr>
      <w:r w:rsidRPr="00DF767A">
        <w:rPr>
          <w:rFonts w:ascii="Bookman Old Style" w:hAnsi="Bookman Old Style"/>
          <w:sz w:val="24"/>
          <w:szCs w:val="24"/>
        </w:rPr>
        <w:lastRenderedPageBreak/>
        <w:t xml:space="preserve">Repárese en que para la adopción del fallo no es presupuesto la existencia de una medida de aseguramiento, puesto que hay </w:t>
      </w:r>
      <w:r w:rsidR="005E52BA" w:rsidRPr="00DF767A">
        <w:rPr>
          <w:rFonts w:ascii="Bookman Old Style" w:hAnsi="Bookman Old Style"/>
          <w:sz w:val="24"/>
          <w:szCs w:val="24"/>
        </w:rPr>
        <w:t>delitos respecto de los cuales -teniendo prevista prisión-</w:t>
      </w:r>
      <w:r w:rsidRPr="00DF767A">
        <w:rPr>
          <w:rFonts w:ascii="Bookman Old Style" w:hAnsi="Bookman Old Style"/>
          <w:sz w:val="24"/>
          <w:szCs w:val="24"/>
        </w:rPr>
        <w:t xml:space="preserve"> no procede la detención preventiva o hay actuaciones en las que se hace innecesaria la imposición de la medida al sindicado a partir de sus fines, luego la libertad personal se definirá </w:t>
      </w:r>
      <w:r w:rsidR="005E52BA" w:rsidRPr="00DF767A">
        <w:rPr>
          <w:rFonts w:ascii="Bookman Old Style" w:hAnsi="Bookman Old Style"/>
          <w:sz w:val="24"/>
          <w:szCs w:val="24"/>
        </w:rPr>
        <w:t>en la sentencia -exclusivamente-</w:t>
      </w:r>
      <w:r w:rsidRPr="00DF767A">
        <w:rPr>
          <w:rFonts w:ascii="Bookman Old Style" w:hAnsi="Bookman Old Style"/>
          <w:sz w:val="24"/>
          <w:szCs w:val="24"/>
        </w:rPr>
        <w:t xml:space="preserve"> con atención a los tres tópicos de obligatoria resolución en ella, esto es la imputación de la pena privativa delictual, la condena condicional y la prisión domiciliaria, estas dos últimas para concederlas o negarlas.</w:t>
      </w:r>
    </w:p>
    <w:p w:rsidR="004674BE" w:rsidRPr="00DF767A" w:rsidRDefault="004674BE" w:rsidP="004674BE">
      <w:pPr>
        <w:pStyle w:val="Puesto"/>
        <w:ind w:left="851" w:right="51" w:firstLine="567"/>
        <w:jc w:val="both"/>
        <w:rPr>
          <w:rFonts w:ascii="Bookman Old Style" w:hAnsi="Bookman Old Style"/>
          <w:b/>
          <w:sz w:val="24"/>
          <w:szCs w:val="24"/>
        </w:rPr>
      </w:pPr>
    </w:p>
    <w:p w:rsidR="004674BE" w:rsidRPr="00DF767A" w:rsidRDefault="004674BE" w:rsidP="00EA43D9">
      <w:pPr>
        <w:pStyle w:val="Puesto"/>
        <w:ind w:left="851" w:right="51"/>
        <w:jc w:val="both"/>
        <w:rPr>
          <w:rFonts w:ascii="Bookman Old Style" w:hAnsi="Bookman Old Style"/>
          <w:sz w:val="24"/>
          <w:szCs w:val="24"/>
        </w:rPr>
      </w:pPr>
      <w:r w:rsidRPr="00DF767A">
        <w:rPr>
          <w:rFonts w:ascii="Bookman Old Style" w:hAnsi="Bookman Old Style"/>
          <w:sz w:val="24"/>
          <w:szCs w:val="24"/>
        </w:rPr>
        <w:t>Por eso, si al examinarse la pertinencia del mecanismo sustitutivo de la suspensión condicional de la ejecución de la pena privativa de la libertad se le otorga a quien durante el proceso ha permanecido en detención preventiva en la cárcel o en su domicilio, su liberación tendrá sustento en la sentencia y no en la revocatoria de la medida de aseguramiento que afectaba su libertad.</w:t>
      </w:r>
    </w:p>
    <w:p w:rsidR="00DA454B" w:rsidRPr="00DF767A" w:rsidRDefault="00DA454B" w:rsidP="00DA454B"/>
    <w:p w:rsidR="004674BE" w:rsidRPr="00DF767A" w:rsidRDefault="004674BE" w:rsidP="00EA43D9">
      <w:pPr>
        <w:pStyle w:val="Puesto"/>
        <w:ind w:left="851" w:right="51"/>
        <w:jc w:val="both"/>
        <w:rPr>
          <w:rFonts w:ascii="Bookman Old Style" w:hAnsi="Bookman Old Style"/>
          <w:b/>
          <w:sz w:val="24"/>
          <w:szCs w:val="24"/>
        </w:rPr>
      </w:pPr>
      <w:r w:rsidRPr="00DF767A">
        <w:rPr>
          <w:rFonts w:ascii="Bookman Old Style" w:hAnsi="Bookman Old Style"/>
          <w:sz w:val="24"/>
          <w:szCs w:val="24"/>
        </w:rPr>
        <w:t>De igual manera si en el fallo se dispuso la ejecución de la pena de prisión porque el procesado que se encuentra privado de su libertad no tiene derecho al mecanismo sustitutivo de la suspensión condicional y la misma se sustituye por la prisión domiciliaria al reunir los requisitos previstos para ella, tal decisión no impone la modificación de la medida de aseguramiento cuyos efectos según lo dicho, cesan con el proferimiento de aquél.</w:t>
      </w:r>
    </w:p>
    <w:p w:rsidR="004674BE" w:rsidRPr="00DF767A" w:rsidRDefault="004674BE" w:rsidP="004674BE">
      <w:pPr>
        <w:pStyle w:val="Puesto"/>
        <w:ind w:left="851" w:right="51" w:firstLine="567"/>
        <w:jc w:val="both"/>
        <w:rPr>
          <w:rFonts w:ascii="Bookman Old Style" w:hAnsi="Bookman Old Style"/>
          <w:b/>
          <w:sz w:val="24"/>
          <w:szCs w:val="24"/>
        </w:rPr>
      </w:pPr>
    </w:p>
    <w:p w:rsidR="004674BE" w:rsidRPr="00DF767A" w:rsidRDefault="004674BE" w:rsidP="00EA43D9">
      <w:pPr>
        <w:pStyle w:val="Puesto"/>
        <w:ind w:left="851" w:right="51"/>
        <w:jc w:val="both"/>
        <w:rPr>
          <w:rFonts w:ascii="Bookman Old Style" w:hAnsi="Bookman Old Style"/>
          <w:b/>
          <w:sz w:val="24"/>
          <w:szCs w:val="24"/>
        </w:rPr>
      </w:pPr>
      <w:r w:rsidRPr="00DF767A">
        <w:rPr>
          <w:rFonts w:ascii="Bookman Old Style" w:hAnsi="Bookman Old Style"/>
          <w:sz w:val="24"/>
          <w:szCs w:val="24"/>
        </w:rPr>
        <w:t>Lo mismo es predicable cuando en la sentencia al mismo tiempo se niegan la suspensión condicional de la ejecución de la pena de prisión y el sustituto de la prisión domiciliaria, ya que la afectación de la libertad de la persona que legalmente viene detenida o de la aprehendida en virtud de orden de captura impartida durante la instrucción al haberse decretado su detención preventiva, tiene sustento jurídico en esas determinaciones y no en la medida de aseguramiento.</w:t>
      </w:r>
    </w:p>
    <w:p w:rsidR="004674BE" w:rsidRPr="00DF767A" w:rsidRDefault="004674BE" w:rsidP="004674BE">
      <w:pPr>
        <w:pStyle w:val="Puesto"/>
        <w:ind w:left="851" w:right="51" w:firstLine="567"/>
        <w:jc w:val="both"/>
        <w:rPr>
          <w:rFonts w:ascii="Bookman Old Style" w:hAnsi="Bookman Old Style"/>
          <w:b/>
          <w:sz w:val="24"/>
          <w:szCs w:val="24"/>
        </w:rPr>
      </w:pPr>
    </w:p>
    <w:p w:rsidR="004674BE" w:rsidRPr="00DF767A" w:rsidRDefault="004674BE" w:rsidP="00EA43D9">
      <w:pPr>
        <w:pStyle w:val="Puesto"/>
        <w:ind w:left="851" w:right="51"/>
        <w:jc w:val="both"/>
        <w:rPr>
          <w:rFonts w:ascii="Bookman Old Style" w:hAnsi="Bookman Old Style"/>
          <w:b/>
          <w:sz w:val="24"/>
          <w:szCs w:val="24"/>
        </w:rPr>
      </w:pPr>
      <w:r w:rsidRPr="00DF767A">
        <w:rPr>
          <w:rFonts w:ascii="Bookman Old Style" w:hAnsi="Bookman Old Style"/>
          <w:sz w:val="24"/>
          <w:szCs w:val="24"/>
        </w:rPr>
        <w:t xml:space="preserve">Las situaciones anteriores ejemplificadas por la Sala respecto de las distintas hipótesis que pueden darse en relación con las decisiones que pueden afectar la libertad personal del procesado que ha permanecido detenido durante el trámite de la actuación, sirven para concluir que </w:t>
      </w:r>
      <w:r w:rsidRPr="00DF767A">
        <w:rPr>
          <w:rFonts w:ascii="Bookman Old Style" w:hAnsi="Bookman Old Style"/>
          <w:b/>
          <w:i/>
          <w:sz w:val="24"/>
          <w:szCs w:val="24"/>
        </w:rPr>
        <w:t xml:space="preserve">la misma se rige por lo decidido en la sentencia cuando ella se ha proferido y no por la existencia </w:t>
      </w:r>
      <w:r w:rsidR="00EA43D9" w:rsidRPr="00DF767A">
        <w:rPr>
          <w:rFonts w:ascii="Bookman Old Style" w:hAnsi="Bookman Old Style"/>
          <w:b/>
          <w:i/>
          <w:sz w:val="24"/>
          <w:szCs w:val="24"/>
        </w:rPr>
        <w:t>de la medida de aseguramiento</w:t>
      </w:r>
      <w:r w:rsidR="00EA43D9" w:rsidRPr="00DF767A">
        <w:rPr>
          <w:rFonts w:ascii="Bookman Old Style" w:hAnsi="Bookman Old Style"/>
          <w:sz w:val="24"/>
          <w:szCs w:val="24"/>
        </w:rPr>
        <w:t xml:space="preserve">. </w:t>
      </w:r>
    </w:p>
    <w:p w:rsidR="004674BE" w:rsidRPr="00DF767A" w:rsidRDefault="004674BE" w:rsidP="004674BE">
      <w:pPr>
        <w:spacing w:line="336" w:lineRule="auto"/>
        <w:ind w:right="51" w:firstLine="851"/>
        <w:jc w:val="both"/>
        <w:rPr>
          <w:rFonts w:ascii="Bookman Old Style" w:hAnsi="Bookman Old Style"/>
          <w:sz w:val="27"/>
          <w:szCs w:val="27"/>
          <w:lang w:val="es-CO"/>
        </w:rPr>
      </w:pPr>
    </w:p>
    <w:p w:rsidR="00D85DA4" w:rsidRPr="00DF767A" w:rsidRDefault="00AF3829" w:rsidP="00D85DA4">
      <w:pPr>
        <w:spacing w:line="336" w:lineRule="auto"/>
        <w:jc w:val="both"/>
        <w:rPr>
          <w:rFonts w:ascii="Bookman Old Style" w:hAnsi="Bookman Old Style"/>
          <w:sz w:val="27"/>
          <w:szCs w:val="27"/>
          <w:lang w:val="es-CO"/>
        </w:rPr>
      </w:pPr>
      <w:r w:rsidRPr="00DF767A">
        <w:rPr>
          <w:rFonts w:ascii="Bookman Old Style" w:hAnsi="Bookman Old Style"/>
          <w:sz w:val="26"/>
          <w:szCs w:val="26"/>
          <w:lang w:val="es-CO"/>
        </w:rPr>
        <w:lastRenderedPageBreak/>
        <w:tab/>
      </w:r>
      <w:r w:rsidR="00EA43D9" w:rsidRPr="00DF767A">
        <w:rPr>
          <w:rFonts w:ascii="Bookman Old Style" w:hAnsi="Bookman Old Style"/>
          <w:sz w:val="27"/>
          <w:szCs w:val="27"/>
          <w:lang w:val="es-CO"/>
        </w:rPr>
        <w:t xml:space="preserve">Tales razones, en esencia, son igualmente aplicables a la comprensión del asunto en los casos a los cuales se aplica la Ley 906 de 2004. </w:t>
      </w:r>
      <w:r w:rsidR="00D85DA4" w:rsidRPr="00DF767A">
        <w:rPr>
          <w:rFonts w:ascii="Bookman Old Style" w:hAnsi="Bookman Old Style"/>
          <w:sz w:val="27"/>
          <w:szCs w:val="27"/>
          <w:lang w:val="es-CO"/>
        </w:rPr>
        <w:t>Si se emite sentido de fallo condenatorio</w:t>
      </w:r>
      <w:r w:rsidR="00D85DA4" w:rsidRPr="00DF767A">
        <w:rPr>
          <w:rFonts w:ascii="Bookman Old Style" w:hAnsi="Bookman Old Style"/>
          <w:sz w:val="25"/>
          <w:szCs w:val="25"/>
          <w:lang w:val="es-CO"/>
        </w:rPr>
        <w:t xml:space="preserve"> (arts. 446 y 447 </w:t>
      </w:r>
      <w:r w:rsidR="00D85DA4" w:rsidRPr="00DF767A">
        <w:rPr>
          <w:rFonts w:ascii="Bookman Old Style" w:hAnsi="Bookman Old Style"/>
          <w:i/>
          <w:sz w:val="25"/>
          <w:szCs w:val="25"/>
          <w:lang w:val="es-CO"/>
        </w:rPr>
        <w:t>ídem</w:t>
      </w:r>
      <w:r w:rsidR="00D85DA4" w:rsidRPr="00DF767A">
        <w:rPr>
          <w:rFonts w:ascii="Bookman Old Style" w:hAnsi="Bookman Old Style"/>
          <w:sz w:val="25"/>
          <w:szCs w:val="25"/>
          <w:lang w:val="es-CO"/>
        </w:rPr>
        <w:t>)</w:t>
      </w:r>
      <w:r w:rsidR="00D85DA4" w:rsidRPr="00DF767A">
        <w:rPr>
          <w:rFonts w:ascii="Bookman Old Style" w:hAnsi="Bookman Old Style"/>
          <w:sz w:val="27"/>
          <w:szCs w:val="27"/>
          <w:lang w:val="es-CO"/>
        </w:rPr>
        <w:t xml:space="preserve">, la detención sigue teniendo una naturaleza cautelar, no para el proceso sino para </w:t>
      </w:r>
      <w:r w:rsidR="00D85DA4" w:rsidRPr="00DF767A">
        <w:rPr>
          <w:rFonts w:ascii="Bookman Old Style" w:hAnsi="Bookman Old Style"/>
          <w:i/>
          <w:sz w:val="27"/>
          <w:szCs w:val="27"/>
          <w:lang w:val="es-CO"/>
        </w:rPr>
        <w:t>el cumplimiento de la pena</w:t>
      </w:r>
      <w:r w:rsidR="00D85DA4" w:rsidRPr="00DF767A">
        <w:rPr>
          <w:rFonts w:ascii="Bookman Old Style" w:hAnsi="Bookman Old Style"/>
          <w:sz w:val="27"/>
          <w:szCs w:val="27"/>
          <w:lang w:val="es-CO"/>
        </w:rPr>
        <w:t xml:space="preserve"> </w:t>
      </w:r>
      <w:r w:rsidR="00D85DA4" w:rsidRPr="00DF767A">
        <w:rPr>
          <w:rFonts w:ascii="Bookman Old Style" w:hAnsi="Bookman Old Style"/>
          <w:sz w:val="25"/>
          <w:szCs w:val="25"/>
          <w:lang w:val="es-CO"/>
        </w:rPr>
        <w:t xml:space="preserve">(art. 296 </w:t>
      </w:r>
      <w:r w:rsidR="00D85DA4" w:rsidRPr="00DF767A">
        <w:rPr>
          <w:rFonts w:ascii="Bookman Old Style" w:hAnsi="Bookman Old Style"/>
          <w:i/>
          <w:sz w:val="25"/>
          <w:szCs w:val="25"/>
          <w:lang w:val="es-CO"/>
        </w:rPr>
        <w:t>ídem</w:t>
      </w:r>
      <w:r w:rsidR="00D85DA4" w:rsidRPr="00DF767A">
        <w:rPr>
          <w:rFonts w:ascii="Bookman Old Style" w:hAnsi="Bookman Old Style"/>
          <w:sz w:val="25"/>
          <w:szCs w:val="25"/>
          <w:lang w:val="es-CO"/>
        </w:rPr>
        <w:t>)</w:t>
      </w:r>
      <w:r w:rsidR="00D85DA4" w:rsidRPr="00DF767A">
        <w:rPr>
          <w:rFonts w:ascii="Bookman Old Style" w:hAnsi="Bookman Old Style"/>
          <w:sz w:val="27"/>
          <w:szCs w:val="27"/>
          <w:lang w:val="es-CO"/>
        </w:rPr>
        <w:t xml:space="preserve">. Tal conclusión se ve sistemáticamente ratificada con lo dispuesto en el art. 450 </w:t>
      </w:r>
      <w:r w:rsidR="00D85DA4" w:rsidRPr="00DF767A">
        <w:rPr>
          <w:rFonts w:ascii="Bookman Old Style" w:hAnsi="Bookman Old Style"/>
          <w:i/>
          <w:sz w:val="27"/>
          <w:szCs w:val="27"/>
          <w:lang w:val="es-CO"/>
        </w:rPr>
        <w:t>ídem</w:t>
      </w:r>
      <w:r w:rsidR="00D85DA4" w:rsidRPr="00DF767A">
        <w:rPr>
          <w:rFonts w:ascii="Bookman Old Style" w:hAnsi="Bookman Old Style"/>
          <w:sz w:val="27"/>
          <w:szCs w:val="27"/>
          <w:lang w:val="es-CO"/>
        </w:rPr>
        <w:t xml:space="preserve">, norma que autoriza al juez de conocimiento, al momento de anunciar el sentido de fallo condenatorio, </w:t>
      </w:r>
      <w:r w:rsidR="00111715" w:rsidRPr="00DF767A">
        <w:rPr>
          <w:rFonts w:ascii="Bookman Old Style" w:hAnsi="Bookman Old Style"/>
          <w:sz w:val="27"/>
          <w:szCs w:val="27"/>
          <w:lang w:val="es-CO"/>
        </w:rPr>
        <w:t xml:space="preserve">a </w:t>
      </w:r>
      <w:r w:rsidR="00D85DA4" w:rsidRPr="00DF767A">
        <w:rPr>
          <w:rFonts w:ascii="Bookman Old Style" w:hAnsi="Bookman Old Style"/>
          <w:sz w:val="27"/>
          <w:szCs w:val="27"/>
          <w:lang w:val="es-CO"/>
        </w:rPr>
        <w:t xml:space="preserve">disponer que el acusado continúe en libertad </w:t>
      </w:r>
      <w:r w:rsidR="00D85DA4" w:rsidRPr="00DF767A">
        <w:rPr>
          <w:rFonts w:ascii="Bookman Old Style" w:hAnsi="Bookman Old Style"/>
          <w:i/>
          <w:sz w:val="27"/>
          <w:szCs w:val="27"/>
          <w:lang w:val="es-CO"/>
        </w:rPr>
        <w:t xml:space="preserve">hasta el momento de dictar sentencia </w:t>
      </w:r>
      <w:r w:rsidR="00D85DA4" w:rsidRPr="00DF767A">
        <w:rPr>
          <w:rFonts w:ascii="Bookman Old Style" w:hAnsi="Bookman Old Style"/>
          <w:sz w:val="27"/>
          <w:szCs w:val="27"/>
          <w:lang w:val="es-CO"/>
        </w:rPr>
        <w:t xml:space="preserve">o, si la detención es necesaria, ordenarla y librar inmediatamente la orden de encarcelamiento. </w:t>
      </w:r>
      <w:r w:rsidR="00C64ACC" w:rsidRPr="00DF767A">
        <w:rPr>
          <w:rFonts w:ascii="Bookman Old Style" w:hAnsi="Bookman Old Style"/>
          <w:sz w:val="27"/>
          <w:szCs w:val="27"/>
          <w:lang w:val="es-CO"/>
        </w:rPr>
        <w:t>Dicho aserto</w:t>
      </w:r>
      <w:r w:rsidR="00D85DA4" w:rsidRPr="00DF767A">
        <w:rPr>
          <w:rFonts w:ascii="Bookman Old Style" w:hAnsi="Bookman Old Style"/>
          <w:sz w:val="27"/>
          <w:szCs w:val="27"/>
          <w:lang w:val="es-CO"/>
        </w:rPr>
        <w:t xml:space="preserve"> también se desprende de los arts. 449 y 451 de la Ley 906 de 2004, pues, por una parte, si el acusado está privado de la libertad, el juez podrá </w:t>
      </w:r>
      <w:r w:rsidR="00D85DA4" w:rsidRPr="00DF767A">
        <w:rPr>
          <w:rFonts w:ascii="Bookman Old Style" w:hAnsi="Bookman Old Style" w:cs="Times New Roman"/>
          <w:sz w:val="27"/>
          <w:szCs w:val="27"/>
        </w:rPr>
        <w:t xml:space="preserve">ordenar su excarcelación siempre y cuando los cargos por los cuales fue encontrado culpable fueren susceptibles, </w:t>
      </w:r>
      <w:r w:rsidR="00D85DA4" w:rsidRPr="00DF767A">
        <w:rPr>
          <w:rFonts w:ascii="Bookman Old Style" w:hAnsi="Bookman Old Style" w:cs="Times New Roman"/>
          <w:i/>
          <w:sz w:val="27"/>
          <w:szCs w:val="27"/>
        </w:rPr>
        <w:t>al momento de dictar sentencia</w:t>
      </w:r>
      <w:r w:rsidR="00D85DA4" w:rsidRPr="00DF767A">
        <w:rPr>
          <w:rFonts w:ascii="Bookman Old Style" w:hAnsi="Bookman Old Style" w:cs="Times New Roman"/>
          <w:sz w:val="27"/>
          <w:szCs w:val="27"/>
        </w:rPr>
        <w:t>, del otorgamiento de un subrogado penal</w:t>
      </w:r>
      <w:r w:rsidR="00D85DA4" w:rsidRPr="00DF767A">
        <w:rPr>
          <w:rFonts w:ascii="Bookman Old Style" w:hAnsi="Bookman Old Style" w:cs="Times New Roman"/>
          <w:i/>
          <w:sz w:val="27"/>
          <w:szCs w:val="27"/>
        </w:rPr>
        <w:t xml:space="preserve">; </w:t>
      </w:r>
      <w:r w:rsidR="00D85DA4" w:rsidRPr="00DF767A">
        <w:rPr>
          <w:rFonts w:ascii="Bookman Old Style" w:hAnsi="Bookman Old Style" w:cs="Times New Roman"/>
          <w:sz w:val="27"/>
          <w:szCs w:val="27"/>
        </w:rPr>
        <w:t xml:space="preserve">por otra, de ser absuelto de la totalidad de los cargos consignados en la acusación, el juez dispondrá la libertad inmediata del procesado, </w:t>
      </w:r>
      <w:r w:rsidR="005D0AD4" w:rsidRPr="00DF767A">
        <w:rPr>
          <w:rFonts w:ascii="Bookman Old Style" w:hAnsi="Bookman Old Style" w:cs="Times New Roman"/>
          <w:sz w:val="27"/>
          <w:szCs w:val="27"/>
        </w:rPr>
        <w:t xml:space="preserve">y </w:t>
      </w:r>
      <w:r w:rsidR="00D85DA4" w:rsidRPr="00DF767A">
        <w:rPr>
          <w:rFonts w:ascii="Bookman Old Style" w:hAnsi="Bookman Old Style" w:cs="Times New Roman"/>
          <w:sz w:val="27"/>
          <w:szCs w:val="27"/>
        </w:rPr>
        <w:t>si estuviere privado de ella, levantará todas las medidas cautelares impuestas</w:t>
      </w:r>
      <w:r w:rsidR="00A3092B" w:rsidRPr="00DF767A">
        <w:rPr>
          <w:rFonts w:ascii="Bookman Old Style" w:hAnsi="Bookman Old Style" w:cs="Times New Roman"/>
          <w:sz w:val="27"/>
          <w:szCs w:val="27"/>
        </w:rPr>
        <w:t>, al tiempo que</w:t>
      </w:r>
      <w:r w:rsidR="00D85DA4" w:rsidRPr="00DF767A">
        <w:rPr>
          <w:rFonts w:ascii="Bookman Old Style" w:hAnsi="Bookman Old Style" w:cs="Times New Roman"/>
          <w:sz w:val="27"/>
          <w:szCs w:val="27"/>
        </w:rPr>
        <w:t xml:space="preserve"> librará sin dilación las órdenes correspondientes.</w:t>
      </w:r>
      <w:r w:rsidR="00D85DA4" w:rsidRPr="00DF767A">
        <w:rPr>
          <w:rFonts w:ascii="Times New Roman" w:hAnsi="Times New Roman" w:cs="Times New Roman"/>
          <w:sz w:val="20"/>
          <w:szCs w:val="20"/>
        </w:rPr>
        <w:t xml:space="preserve"> </w:t>
      </w:r>
    </w:p>
    <w:p w:rsidR="00D85DA4" w:rsidRPr="00DF767A" w:rsidRDefault="00D85DA4" w:rsidP="00D85DA4">
      <w:pPr>
        <w:spacing w:line="336" w:lineRule="auto"/>
        <w:jc w:val="both"/>
        <w:rPr>
          <w:rFonts w:ascii="Bookman Old Style" w:hAnsi="Bookman Old Style"/>
          <w:sz w:val="27"/>
          <w:szCs w:val="27"/>
          <w:lang w:val="es-CO"/>
        </w:rPr>
      </w:pPr>
    </w:p>
    <w:p w:rsidR="00D85DA4" w:rsidRPr="00DF767A" w:rsidRDefault="00D85DA4" w:rsidP="00D85DA4">
      <w:pPr>
        <w:spacing w:line="336" w:lineRule="auto"/>
        <w:jc w:val="both"/>
        <w:rPr>
          <w:rFonts w:ascii="Bookman Old Style" w:hAnsi="Bookman Old Style"/>
          <w:sz w:val="27"/>
          <w:szCs w:val="27"/>
          <w:lang w:val="es-CO"/>
        </w:rPr>
      </w:pPr>
      <w:r w:rsidRPr="00DF767A">
        <w:rPr>
          <w:rFonts w:ascii="Bookman Old Style" w:hAnsi="Bookman Old Style"/>
          <w:sz w:val="27"/>
          <w:szCs w:val="27"/>
          <w:lang w:val="es-CO"/>
        </w:rPr>
        <w:tab/>
        <w:t xml:space="preserve">En relación, con </w:t>
      </w:r>
      <w:r w:rsidR="00EE723F" w:rsidRPr="00DF767A">
        <w:rPr>
          <w:rFonts w:ascii="Bookman Old Style" w:hAnsi="Bookman Old Style"/>
          <w:sz w:val="27"/>
          <w:szCs w:val="27"/>
          <w:lang w:val="es-CO"/>
        </w:rPr>
        <w:t>tales</w:t>
      </w:r>
      <w:r w:rsidRPr="00DF767A">
        <w:rPr>
          <w:rFonts w:ascii="Bookman Old Style" w:hAnsi="Bookman Old Style"/>
          <w:sz w:val="27"/>
          <w:szCs w:val="27"/>
          <w:lang w:val="es-CO"/>
        </w:rPr>
        <w:t xml:space="preserve"> normas, cuando se omite un pronunciamiento al respecto, la Sala </w:t>
      </w:r>
      <w:r w:rsidRPr="00DF767A">
        <w:rPr>
          <w:rFonts w:ascii="Bookman Old Style" w:hAnsi="Bookman Old Style"/>
          <w:sz w:val="25"/>
          <w:szCs w:val="25"/>
          <w:lang w:val="es-CO"/>
        </w:rPr>
        <w:t>(</w:t>
      </w:r>
      <w:r w:rsidRPr="00DF767A">
        <w:rPr>
          <w:rFonts w:ascii="Bookman Old Style" w:hAnsi="Bookman Old Style"/>
          <w:sz w:val="25"/>
          <w:szCs w:val="25"/>
        </w:rPr>
        <w:t>CSJ AP 30 ene. 2008, rad. 28.918)</w:t>
      </w:r>
      <w:r w:rsidRPr="00DF767A">
        <w:rPr>
          <w:rFonts w:ascii="Bookman Old Style" w:hAnsi="Bookman Old Style"/>
          <w:sz w:val="27"/>
          <w:szCs w:val="27"/>
        </w:rPr>
        <w:t xml:space="preserve">, </w:t>
      </w:r>
      <w:r w:rsidRPr="00DF767A">
        <w:rPr>
          <w:rFonts w:ascii="Bookman Old Style" w:hAnsi="Bookman Old Style"/>
          <w:sz w:val="27"/>
          <w:szCs w:val="27"/>
          <w:lang w:val="es-CO"/>
        </w:rPr>
        <w:t xml:space="preserve">ha puntualizado que: </w:t>
      </w:r>
    </w:p>
    <w:p w:rsidR="00D3617E" w:rsidRPr="00DF767A" w:rsidRDefault="00D3617E" w:rsidP="004674BE">
      <w:pPr>
        <w:spacing w:line="336" w:lineRule="auto"/>
        <w:ind w:right="51" w:firstLine="851"/>
        <w:jc w:val="both"/>
        <w:rPr>
          <w:rFonts w:ascii="Bookman Old Style" w:hAnsi="Bookman Old Style"/>
          <w:sz w:val="27"/>
          <w:szCs w:val="27"/>
          <w:lang w:val="es-CO"/>
        </w:rPr>
      </w:pPr>
    </w:p>
    <w:p w:rsidR="004674BE" w:rsidRPr="00DF767A" w:rsidRDefault="004674BE" w:rsidP="00D85DA4">
      <w:pPr>
        <w:pStyle w:val="Textoindependiente22"/>
        <w:spacing w:line="240" w:lineRule="auto"/>
        <w:ind w:left="851" w:right="51"/>
        <w:rPr>
          <w:rFonts w:ascii="Bookman Old Style" w:hAnsi="Bookman Old Style" w:cs="Arial"/>
          <w:sz w:val="24"/>
          <w:szCs w:val="24"/>
        </w:rPr>
      </w:pPr>
      <w:r w:rsidRPr="00DF767A">
        <w:rPr>
          <w:rFonts w:ascii="Bookman Old Style" w:hAnsi="Bookman Old Style" w:cs="Arial"/>
          <w:sz w:val="24"/>
          <w:szCs w:val="24"/>
        </w:rPr>
        <w:lastRenderedPageBreak/>
        <w:t>Por mandato del anterior precepto [art</w:t>
      </w:r>
      <w:r w:rsidR="00D85DA4" w:rsidRPr="00DF767A">
        <w:rPr>
          <w:rFonts w:ascii="Bookman Old Style" w:hAnsi="Bookman Old Style" w:cs="Arial"/>
          <w:sz w:val="24"/>
          <w:szCs w:val="24"/>
        </w:rPr>
        <w:t>.</w:t>
      </w:r>
      <w:r w:rsidRPr="00DF767A">
        <w:rPr>
          <w:rFonts w:ascii="Bookman Old Style" w:hAnsi="Bookman Old Style" w:cs="Arial"/>
          <w:sz w:val="24"/>
          <w:szCs w:val="24"/>
        </w:rPr>
        <w:t xml:space="preserve"> 450] se hace necesario que los jueces observen que en los términos de la Ley 906 de 2004 la ejecución de la sentencia y las órdenes que en ella se imparten, especialmente cuando se condena a un procesado a pena privativa de la libertad y se le niegan subrogados o penas sustitutivas, resulta imperativo que la privación de la libertad se ordene en el mismo momento en que se anuncia el sentido del fallo.</w:t>
      </w:r>
    </w:p>
    <w:p w:rsidR="00AF3829" w:rsidRPr="00DF767A" w:rsidRDefault="00AF3829" w:rsidP="00D85DA4">
      <w:pPr>
        <w:pStyle w:val="Textoindependiente22"/>
        <w:spacing w:line="240" w:lineRule="auto"/>
        <w:ind w:left="851" w:right="51"/>
        <w:rPr>
          <w:rFonts w:ascii="Bookman Old Style" w:hAnsi="Bookman Old Style" w:cs="Arial"/>
          <w:sz w:val="24"/>
          <w:szCs w:val="24"/>
        </w:rPr>
      </w:pPr>
    </w:p>
    <w:p w:rsidR="004674BE" w:rsidRPr="00DF767A" w:rsidRDefault="004674BE" w:rsidP="00AF3829">
      <w:pPr>
        <w:pStyle w:val="Textoindependiente22"/>
        <w:spacing w:line="240" w:lineRule="auto"/>
        <w:ind w:left="851" w:right="51"/>
        <w:rPr>
          <w:rFonts w:ascii="Bookman Old Style" w:hAnsi="Bookman Old Style" w:cs="Arial"/>
          <w:sz w:val="24"/>
          <w:szCs w:val="24"/>
        </w:rPr>
      </w:pPr>
      <w:r w:rsidRPr="00DF767A">
        <w:rPr>
          <w:rFonts w:ascii="Bookman Old Style" w:hAnsi="Bookman Old Style" w:cs="Arial"/>
          <w:sz w:val="24"/>
          <w:szCs w:val="24"/>
        </w:rPr>
        <w:t xml:space="preserve">Dicho en otras palabras: cuando un acusado en contra de quien se anuncia un fallo de condena que conlleva la imposición de una pena privativa de la libertad cuya ejecución no tiene que ser suspendida, los jueces deben cumplir la </w:t>
      </w:r>
      <w:r w:rsidRPr="00DF767A">
        <w:rPr>
          <w:rFonts w:ascii="Bookman Old Style" w:hAnsi="Bookman Old Style" w:cs="Arial"/>
          <w:b/>
          <w:i/>
          <w:sz w:val="24"/>
          <w:szCs w:val="24"/>
        </w:rPr>
        <w:t>regla general</w:t>
      </w:r>
      <w:r w:rsidRPr="00DF767A">
        <w:rPr>
          <w:rFonts w:ascii="Bookman Old Style" w:hAnsi="Bookman Old Style" w:cs="Arial"/>
          <w:sz w:val="24"/>
          <w:szCs w:val="24"/>
        </w:rPr>
        <w:t xml:space="preserve"> consistente en </w:t>
      </w:r>
      <w:r w:rsidRPr="00DF767A">
        <w:rPr>
          <w:rFonts w:ascii="Bookman Old Style" w:hAnsi="Bookman Old Style" w:cs="Arial"/>
          <w:b/>
          <w:i/>
          <w:sz w:val="24"/>
          <w:szCs w:val="24"/>
        </w:rPr>
        <w:t>disponer su captura inmediata para que empiece a descontar la sanción impuesta</w:t>
      </w:r>
      <w:r w:rsidRPr="00DF767A">
        <w:rPr>
          <w:rFonts w:ascii="Bookman Old Style" w:hAnsi="Bookman Old Style" w:cs="Arial"/>
          <w:sz w:val="24"/>
          <w:szCs w:val="24"/>
        </w:rPr>
        <w:t>. Y si tal mandato lo incumple el a quo se debe impartir el correctivo por el ad quem.</w:t>
      </w:r>
    </w:p>
    <w:p w:rsidR="004674BE" w:rsidRPr="00DF767A" w:rsidRDefault="004674BE" w:rsidP="00D85DA4">
      <w:pPr>
        <w:pStyle w:val="Textoindependiente22"/>
        <w:spacing w:line="240" w:lineRule="auto"/>
        <w:ind w:left="851" w:right="51" w:firstLine="567"/>
        <w:rPr>
          <w:rFonts w:ascii="Bookman Old Style" w:hAnsi="Bookman Old Style" w:cs="Arial"/>
          <w:sz w:val="24"/>
          <w:szCs w:val="24"/>
        </w:rPr>
      </w:pPr>
    </w:p>
    <w:p w:rsidR="004674BE" w:rsidRPr="00DF767A" w:rsidRDefault="004674BE" w:rsidP="00AF3829">
      <w:pPr>
        <w:pStyle w:val="Textoindependiente22"/>
        <w:spacing w:line="240" w:lineRule="auto"/>
        <w:ind w:left="851" w:right="51"/>
        <w:rPr>
          <w:rFonts w:ascii="Bookman Old Style" w:hAnsi="Bookman Old Style" w:cs="Arial"/>
          <w:sz w:val="24"/>
          <w:szCs w:val="24"/>
        </w:rPr>
      </w:pPr>
      <w:r w:rsidRPr="00DF767A">
        <w:rPr>
          <w:rFonts w:ascii="Bookman Old Style" w:hAnsi="Bookman Old Style" w:cs="Arial"/>
          <w:b/>
          <w:i/>
          <w:sz w:val="24"/>
          <w:szCs w:val="24"/>
        </w:rPr>
        <w:t>Excepcionalmente</w:t>
      </w:r>
      <w:r w:rsidRPr="00DF767A">
        <w:rPr>
          <w:rFonts w:ascii="Bookman Old Style" w:hAnsi="Bookman Old Style" w:cs="Arial"/>
          <w:sz w:val="24"/>
          <w:szCs w:val="24"/>
        </w:rPr>
        <w:t xml:space="preserve"> el juez podrá abstenerse de ordenar la captura inmediata. En este caso recae sobre el servidor judicial una carga argumentativa conforme a la cual debe justificar amplia, razonada y razonablemente, conforme lo cual debe quedar suficientemente explicado el por qué le resulta innecesaria la orden de detención inm</w:t>
      </w:r>
      <w:r w:rsidR="00AF3829" w:rsidRPr="00DF767A">
        <w:rPr>
          <w:rFonts w:ascii="Bookman Old Style" w:hAnsi="Bookman Old Style" w:cs="Arial"/>
          <w:sz w:val="24"/>
          <w:szCs w:val="24"/>
        </w:rPr>
        <w:t xml:space="preserve">ediata. </w:t>
      </w:r>
      <w:r w:rsidRPr="00DF767A">
        <w:rPr>
          <w:rFonts w:ascii="Bookman Old Style" w:hAnsi="Bookman Old Style" w:cs="Arial"/>
          <w:sz w:val="24"/>
          <w:szCs w:val="24"/>
        </w:rPr>
        <w:t>Esto podría presentarse, por ejemplo, cuando aparece debidamente demostrado que el acusado padece de una grave enfermedad.</w:t>
      </w:r>
    </w:p>
    <w:p w:rsidR="004674BE" w:rsidRPr="00DF767A" w:rsidRDefault="004674BE" w:rsidP="00D85DA4">
      <w:pPr>
        <w:pStyle w:val="Textoindependiente22"/>
        <w:spacing w:line="240" w:lineRule="auto"/>
        <w:ind w:left="851" w:right="51" w:firstLine="567"/>
        <w:rPr>
          <w:rFonts w:ascii="Bookman Old Style" w:hAnsi="Bookman Old Style" w:cs="Arial"/>
          <w:sz w:val="24"/>
          <w:szCs w:val="24"/>
        </w:rPr>
      </w:pPr>
    </w:p>
    <w:p w:rsidR="004674BE" w:rsidRPr="00DF767A" w:rsidRDefault="004674BE" w:rsidP="00AF3829">
      <w:pPr>
        <w:pStyle w:val="Textoindependiente22"/>
        <w:spacing w:line="240" w:lineRule="auto"/>
        <w:ind w:left="851" w:right="51"/>
        <w:rPr>
          <w:rFonts w:ascii="Bookman Old Style" w:hAnsi="Bookman Old Style" w:cs="Arial"/>
          <w:sz w:val="24"/>
          <w:szCs w:val="24"/>
        </w:rPr>
      </w:pPr>
      <w:r w:rsidRPr="00DF767A">
        <w:rPr>
          <w:rFonts w:ascii="Bookman Old Style" w:hAnsi="Bookman Old Style" w:cs="Arial"/>
          <w:sz w:val="24"/>
          <w:szCs w:val="24"/>
        </w:rPr>
        <w:t>En todo caso cada situación deberá ser analizada en forma concreta; muy probablemente no estarán cubiertas por la excepción (i) aquellas pers</w:t>
      </w:r>
      <w:r w:rsidR="00AF3829" w:rsidRPr="00DF767A">
        <w:rPr>
          <w:rFonts w:ascii="Bookman Old Style" w:hAnsi="Bookman Old Style" w:cs="Arial"/>
          <w:sz w:val="24"/>
          <w:szCs w:val="24"/>
        </w:rPr>
        <w:t>onas que han rehuido su comparecen</w:t>
      </w:r>
      <w:r w:rsidRPr="00DF767A">
        <w:rPr>
          <w:rFonts w:ascii="Bookman Old Style" w:hAnsi="Bookman Old Style" w:cs="Arial"/>
          <w:sz w:val="24"/>
          <w:szCs w:val="24"/>
        </w:rPr>
        <w:t xml:space="preserve">cia ante los jueces, (ii) quienes se han escondido o dificultado las notificaciones a lo largo de la actuación, (iii) los que han utilizado estrategias dilatorias en busca de beneficios, (iv) los procesados que han tenido que ser conducidos policialmente para que hagan presencia en la actuación y, (v) en general, cuando se den las mismas circunstancias que ameritan la imposición de una detención preventiva. </w:t>
      </w:r>
    </w:p>
    <w:p w:rsidR="004674BE" w:rsidRPr="00DF767A" w:rsidRDefault="004674BE" w:rsidP="004674BE">
      <w:pPr>
        <w:spacing w:line="336" w:lineRule="auto"/>
        <w:ind w:right="51" w:firstLine="851"/>
        <w:jc w:val="both"/>
        <w:rPr>
          <w:rFonts w:ascii="Bookman Old Style" w:hAnsi="Bookman Old Style"/>
          <w:sz w:val="27"/>
          <w:szCs w:val="27"/>
          <w:lang w:val="es-CO"/>
        </w:rPr>
      </w:pPr>
    </w:p>
    <w:p w:rsidR="00D85DA4" w:rsidRPr="00DF767A" w:rsidRDefault="00AF3829" w:rsidP="004674BE">
      <w:pPr>
        <w:spacing w:line="336" w:lineRule="auto"/>
        <w:ind w:right="51" w:firstLine="851"/>
        <w:jc w:val="both"/>
        <w:rPr>
          <w:rFonts w:ascii="Bookman Old Style" w:hAnsi="Bookman Old Style"/>
          <w:sz w:val="27"/>
          <w:szCs w:val="27"/>
          <w:lang w:val="es-CO"/>
        </w:rPr>
      </w:pPr>
      <w:r w:rsidRPr="00DF767A">
        <w:rPr>
          <w:rFonts w:ascii="Bookman Old Style" w:hAnsi="Bookman Old Style"/>
          <w:sz w:val="27"/>
          <w:szCs w:val="27"/>
          <w:lang w:val="es-CO"/>
        </w:rPr>
        <w:t xml:space="preserve">Y esa comprensión, valga precisar, es del todo compatible con la presunción de inocencia. </w:t>
      </w:r>
      <w:r w:rsidR="0052398C" w:rsidRPr="00DF767A">
        <w:rPr>
          <w:rFonts w:ascii="Bookman Old Style" w:hAnsi="Bookman Old Style"/>
          <w:sz w:val="27"/>
          <w:szCs w:val="27"/>
          <w:lang w:val="es-CO"/>
        </w:rPr>
        <w:t>Si bien é</w:t>
      </w:r>
      <w:r w:rsidRPr="00DF767A">
        <w:rPr>
          <w:rFonts w:ascii="Bookman Old Style" w:hAnsi="Bookman Old Style"/>
          <w:sz w:val="27"/>
          <w:szCs w:val="27"/>
          <w:lang w:val="es-CO"/>
        </w:rPr>
        <w:t xml:space="preserve">sta subsiste hasta que cobre ejecutoria la declaración de responsabilidad penal, también es verdad que, con la emisión </w:t>
      </w:r>
      <w:r w:rsidRPr="00DF767A">
        <w:rPr>
          <w:rFonts w:ascii="Bookman Old Style" w:hAnsi="Bookman Old Style"/>
          <w:sz w:val="27"/>
          <w:szCs w:val="27"/>
          <w:lang w:val="es-CO"/>
        </w:rPr>
        <w:lastRenderedPageBreak/>
        <w:t xml:space="preserve">de una decisión condenatoria en primera instancia, al </w:t>
      </w:r>
      <w:r w:rsidRPr="00DF767A">
        <w:rPr>
          <w:rFonts w:ascii="Bookman Old Style" w:hAnsi="Bookman Old Style"/>
          <w:i/>
          <w:sz w:val="27"/>
          <w:szCs w:val="27"/>
          <w:lang w:val="es-CO"/>
        </w:rPr>
        <w:t xml:space="preserve">sentenciado </w:t>
      </w:r>
      <w:r w:rsidRPr="00DF767A">
        <w:rPr>
          <w:rFonts w:ascii="Bookman Old Style" w:hAnsi="Bookman Old Style"/>
          <w:sz w:val="27"/>
          <w:szCs w:val="27"/>
          <w:lang w:val="es-CO"/>
        </w:rPr>
        <w:t xml:space="preserve">se le traslada la </w:t>
      </w:r>
      <w:r w:rsidR="00D85DA4" w:rsidRPr="00DF767A">
        <w:rPr>
          <w:rFonts w:ascii="Bookman Old Style" w:hAnsi="Bookman Old Style"/>
          <w:sz w:val="27"/>
          <w:szCs w:val="27"/>
          <w:lang w:val="es-CO"/>
        </w:rPr>
        <w:t xml:space="preserve">carga de refutar, por la vía del derecho de impugnación, las razones por las cuales se ve </w:t>
      </w:r>
      <w:r w:rsidR="00D85DA4" w:rsidRPr="00DF767A">
        <w:rPr>
          <w:rFonts w:ascii="Bookman Old Style" w:hAnsi="Bookman Old Style"/>
          <w:i/>
          <w:sz w:val="27"/>
          <w:szCs w:val="27"/>
          <w:lang w:val="es-CO"/>
        </w:rPr>
        <w:t>condenado</w:t>
      </w:r>
      <w:r w:rsidR="00D85DA4" w:rsidRPr="00DF767A">
        <w:rPr>
          <w:rFonts w:ascii="Bookman Old Style" w:hAnsi="Bookman Old Style"/>
          <w:sz w:val="27"/>
          <w:szCs w:val="27"/>
          <w:lang w:val="es-CO"/>
        </w:rPr>
        <w:t xml:space="preserve"> provisionalmente.</w:t>
      </w:r>
    </w:p>
    <w:p w:rsidR="00D85DA4" w:rsidRPr="00DF767A" w:rsidRDefault="00D85DA4" w:rsidP="004674BE">
      <w:pPr>
        <w:spacing w:line="336" w:lineRule="auto"/>
        <w:ind w:right="51" w:firstLine="851"/>
        <w:jc w:val="both"/>
        <w:rPr>
          <w:rFonts w:ascii="Bookman Old Style" w:hAnsi="Bookman Old Style"/>
          <w:sz w:val="27"/>
          <w:szCs w:val="27"/>
          <w:lang w:val="es-CO"/>
        </w:rPr>
      </w:pPr>
    </w:p>
    <w:p w:rsidR="004674BE" w:rsidRPr="00DF767A" w:rsidRDefault="00C3263D" w:rsidP="004674BE">
      <w:pPr>
        <w:spacing w:line="336" w:lineRule="auto"/>
        <w:ind w:right="51" w:firstLine="851"/>
        <w:jc w:val="both"/>
        <w:rPr>
          <w:rFonts w:ascii="Bookman Old Style" w:hAnsi="Bookman Old Style"/>
          <w:sz w:val="27"/>
          <w:szCs w:val="27"/>
          <w:lang w:val="es-CO"/>
        </w:rPr>
      </w:pPr>
      <w:r w:rsidRPr="00DF767A">
        <w:rPr>
          <w:rFonts w:ascii="Bookman Old Style" w:hAnsi="Bookman Old Style"/>
          <w:sz w:val="27"/>
          <w:szCs w:val="27"/>
          <w:lang w:val="es-CO"/>
        </w:rPr>
        <w:t>Cabe precisar, por otra parte</w:t>
      </w:r>
      <w:r w:rsidR="004674BE" w:rsidRPr="00DF767A">
        <w:rPr>
          <w:rFonts w:ascii="Bookman Old Style" w:hAnsi="Bookman Old Style"/>
          <w:sz w:val="27"/>
          <w:szCs w:val="27"/>
          <w:lang w:val="es-CO"/>
        </w:rPr>
        <w:t>, que si al anunciarse el sentido del fallo de carácter condenatorio se omite hacer un pronunciamiento en los términos del art</w:t>
      </w:r>
      <w:r w:rsidRPr="00DF767A">
        <w:rPr>
          <w:rFonts w:ascii="Bookman Old Style" w:hAnsi="Bookman Old Style"/>
          <w:sz w:val="27"/>
          <w:szCs w:val="27"/>
          <w:lang w:val="es-CO"/>
        </w:rPr>
        <w:t>.</w:t>
      </w:r>
      <w:r w:rsidR="004674BE" w:rsidRPr="00DF767A">
        <w:rPr>
          <w:rFonts w:ascii="Bookman Old Style" w:hAnsi="Bookman Old Style"/>
          <w:sz w:val="27"/>
          <w:szCs w:val="27"/>
          <w:lang w:val="es-CO"/>
        </w:rPr>
        <w:t xml:space="preserve"> 450 de la Ley 906 de 2004</w:t>
      </w:r>
      <w:r w:rsidRPr="00DF767A">
        <w:rPr>
          <w:rFonts w:ascii="Bookman Old Style" w:hAnsi="Bookman Old Style"/>
          <w:sz w:val="27"/>
          <w:szCs w:val="27"/>
          <w:lang w:val="es-CO"/>
        </w:rPr>
        <w:t xml:space="preserve">, </w:t>
      </w:r>
      <w:r w:rsidR="004674BE" w:rsidRPr="00DF767A">
        <w:rPr>
          <w:rFonts w:ascii="Bookman Old Style" w:hAnsi="Bookman Old Style"/>
          <w:sz w:val="27"/>
          <w:szCs w:val="27"/>
          <w:lang w:val="es-CO"/>
        </w:rPr>
        <w:t>en concordancia con el art</w:t>
      </w:r>
      <w:r w:rsidRPr="00DF767A">
        <w:rPr>
          <w:rFonts w:ascii="Bookman Old Style" w:hAnsi="Bookman Old Style"/>
          <w:sz w:val="27"/>
          <w:szCs w:val="27"/>
          <w:lang w:val="es-CO"/>
        </w:rPr>
        <w:t xml:space="preserve">. </w:t>
      </w:r>
      <w:r w:rsidR="004674BE" w:rsidRPr="00DF767A">
        <w:rPr>
          <w:rFonts w:ascii="Bookman Old Style" w:hAnsi="Bookman Old Style"/>
          <w:sz w:val="27"/>
          <w:szCs w:val="27"/>
          <w:lang w:val="es-CO"/>
        </w:rPr>
        <w:t xml:space="preserve">449 </w:t>
      </w:r>
      <w:r w:rsidR="004674BE" w:rsidRPr="00DF767A">
        <w:rPr>
          <w:rFonts w:ascii="Bookman Old Style" w:hAnsi="Bookman Old Style"/>
          <w:i/>
          <w:sz w:val="27"/>
          <w:szCs w:val="27"/>
          <w:lang w:val="es-CO"/>
        </w:rPr>
        <w:t>ídem</w:t>
      </w:r>
      <w:r w:rsidRPr="00DF767A">
        <w:rPr>
          <w:rFonts w:ascii="Bookman Old Style" w:hAnsi="Bookman Old Style"/>
          <w:sz w:val="27"/>
          <w:szCs w:val="27"/>
          <w:lang w:val="es-CO"/>
        </w:rPr>
        <w:t>,</w:t>
      </w:r>
      <w:r w:rsidR="004674BE" w:rsidRPr="00DF767A">
        <w:rPr>
          <w:rFonts w:ascii="Bookman Old Style" w:hAnsi="Bookman Old Style"/>
          <w:sz w:val="27"/>
          <w:szCs w:val="27"/>
          <w:lang w:val="es-CO"/>
        </w:rPr>
        <w:t xml:space="preserve"> los efectos de la medida de aseguramiento s</w:t>
      </w:r>
      <w:r w:rsidRPr="00DF767A">
        <w:rPr>
          <w:rFonts w:ascii="Bookman Old Style" w:hAnsi="Bookman Old Style"/>
          <w:sz w:val="27"/>
          <w:szCs w:val="27"/>
          <w:lang w:val="es-CO"/>
        </w:rPr>
        <w:t xml:space="preserve">ólo se </w:t>
      </w:r>
      <w:r w:rsidRPr="00DF767A">
        <w:rPr>
          <w:rFonts w:ascii="Bookman Old Style" w:hAnsi="Bookman Old Style"/>
          <w:i/>
          <w:sz w:val="27"/>
          <w:szCs w:val="27"/>
          <w:lang w:val="es-CO"/>
        </w:rPr>
        <w:t>extienden</w:t>
      </w:r>
      <w:r w:rsidR="004674BE" w:rsidRPr="00DF767A">
        <w:rPr>
          <w:rFonts w:ascii="Bookman Old Style" w:hAnsi="Bookman Old Style"/>
          <w:i/>
          <w:sz w:val="27"/>
          <w:szCs w:val="27"/>
          <w:lang w:val="es-CO"/>
        </w:rPr>
        <w:t xml:space="preserve"> hasta el</w:t>
      </w:r>
      <w:r w:rsidR="004674BE" w:rsidRPr="00DF767A">
        <w:rPr>
          <w:rFonts w:ascii="Bookman Old Style" w:hAnsi="Bookman Old Style"/>
          <w:sz w:val="27"/>
          <w:szCs w:val="27"/>
          <w:lang w:val="es-CO"/>
        </w:rPr>
        <w:t xml:space="preserve"> </w:t>
      </w:r>
      <w:r w:rsidR="004674BE" w:rsidRPr="00DF767A">
        <w:rPr>
          <w:rFonts w:ascii="Bookman Old Style" w:hAnsi="Bookman Old Style"/>
          <w:i/>
          <w:sz w:val="27"/>
          <w:szCs w:val="27"/>
          <w:lang w:val="es-CO"/>
        </w:rPr>
        <w:t>proferimiento de la sentencia</w:t>
      </w:r>
      <w:r w:rsidR="004674BE" w:rsidRPr="00DF767A">
        <w:rPr>
          <w:rFonts w:ascii="Bookman Old Style" w:hAnsi="Bookman Old Style"/>
          <w:sz w:val="27"/>
          <w:szCs w:val="27"/>
          <w:lang w:val="es-CO"/>
        </w:rPr>
        <w:t>, pues por mandato</w:t>
      </w:r>
      <w:r w:rsidRPr="00DF767A">
        <w:rPr>
          <w:rFonts w:ascii="Bookman Old Style" w:hAnsi="Bookman Old Style"/>
          <w:sz w:val="27"/>
          <w:szCs w:val="27"/>
          <w:lang w:val="es-CO"/>
        </w:rPr>
        <w:t xml:space="preserve"> del art. 162-5 </w:t>
      </w:r>
      <w:r w:rsidRPr="00DF767A">
        <w:rPr>
          <w:rFonts w:ascii="Bookman Old Style" w:hAnsi="Bookman Old Style"/>
          <w:i/>
          <w:sz w:val="27"/>
          <w:szCs w:val="27"/>
          <w:lang w:val="es-CO"/>
        </w:rPr>
        <w:t>ídem</w:t>
      </w:r>
      <w:r w:rsidRPr="00DF767A">
        <w:rPr>
          <w:rFonts w:ascii="Bookman Old Style" w:hAnsi="Bookman Old Style"/>
          <w:sz w:val="27"/>
          <w:szCs w:val="27"/>
          <w:lang w:val="es-CO"/>
        </w:rPr>
        <w:t xml:space="preserve">, así como de los arts. 34 y ss. del C.P., el juzgador deberá </w:t>
      </w:r>
      <w:r w:rsidR="004674BE" w:rsidRPr="00DF767A">
        <w:rPr>
          <w:rFonts w:ascii="Bookman Old Style" w:hAnsi="Bookman Old Style"/>
          <w:sz w:val="27"/>
          <w:szCs w:val="27"/>
          <w:lang w:val="es-CO"/>
        </w:rPr>
        <w:t xml:space="preserve">imponer las penas </w:t>
      </w:r>
      <w:r w:rsidRPr="00DF767A">
        <w:rPr>
          <w:rFonts w:ascii="Bookman Old Style" w:hAnsi="Bookman Old Style"/>
          <w:sz w:val="27"/>
          <w:szCs w:val="27"/>
          <w:lang w:val="es-CO"/>
        </w:rPr>
        <w:t xml:space="preserve">principales, sustitutivas y accesorias. </w:t>
      </w:r>
      <w:r w:rsidR="004674BE" w:rsidRPr="00DF767A">
        <w:rPr>
          <w:rFonts w:ascii="Bookman Old Style" w:hAnsi="Bookman Old Style"/>
          <w:sz w:val="27"/>
          <w:szCs w:val="27"/>
          <w:lang w:val="es-CO"/>
        </w:rPr>
        <w:t>Además, según se desprende de lo estipulado en los art</w:t>
      </w:r>
      <w:r w:rsidRPr="00DF767A">
        <w:rPr>
          <w:rFonts w:ascii="Bookman Old Style" w:hAnsi="Bookman Old Style"/>
          <w:sz w:val="27"/>
          <w:szCs w:val="27"/>
          <w:lang w:val="es-CO"/>
        </w:rPr>
        <w:t xml:space="preserve">s. </w:t>
      </w:r>
      <w:r w:rsidR="004674BE" w:rsidRPr="00DF767A">
        <w:rPr>
          <w:rFonts w:ascii="Bookman Old Style" w:hAnsi="Bookman Old Style"/>
          <w:sz w:val="27"/>
          <w:szCs w:val="27"/>
          <w:lang w:val="es-CO"/>
        </w:rPr>
        <w:t>63 y 68</w:t>
      </w:r>
      <w:r w:rsidRPr="00DF767A">
        <w:rPr>
          <w:rFonts w:ascii="Bookman Old Style" w:hAnsi="Bookman Old Style"/>
          <w:sz w:val="27"/>
          <w:szCs w:val="27"/>
          <w:lang w:val="es-CO"/>
        </w:rPr>
        <w:t xml:space="preserve"> </w:t>
      </w:r>
      <w:r w:rsidR="004674BE" w:rsidRPr="00DF767A">
        <w:rPr>
          <w:rFonts w:ascii="Bookman Old Style" w:hAnsi="Bookman Old Style"/>
          <w:sz w:val="27"/>
          <w:szCs w:val="27"/>
          <w:lang w:val="es-CO"/>
        </w:rPr>
        <w:t>A del C</w:t>
      </w:r>
      <w:r w:rsidRPr="00DF767A">
        <w:rPr>
          <w:rFonts w:ascii="Bookman Old Style" w:hAnsi="Bookman Old Style"/>
          <w:sz w:val="27"/>
          <w:szCs w:val="27"/>
          <w:lang w:val="es-CO"/>
        </w:rPr>
        <w:t xml:space="preserve">.P., también </w:t>
      </w:r>
      <w:r w:rsidR="004674BE" w:rsidRPr="00DF767A">
        <w:rPr>
          <w:rFonts w:ascii="Bookman Old Style" w:hAnsi="Bookman Old Style"/>
          <w:sz w:val="27"/>
          <w:szCs w:val="27"/>
          <w:lang w:val="es-CO"/>
        </w:rPr>
        <w:t>se debe pronunciar a</w:t>
      </w:r>
      <w:r w:rsidRPr="00DF767A">
        <w:rPr>
          <w:rFonts w:ascii="Bookman Old Style" w:hAnsi="Bookman Old Style"/>
          <w:sz w:val="27"/>
          <w:szCs w:val="27"/>
          <w:lang w:val="es-CO"/>
        </w:rPr>
        <w:t xml:space="preserve">cerca de libertad del implicado, en referencia a la suspensión de la ejecución de la pena de prisión y la prisión domiciliaria. </w:t>
      </w:r>
    </w:p>
    <w:p w:rsidR="000D16DE" w:rsidRPr="00DF767A" w:rsidRDefault="000D16DE" w:rsidP="004674BE">
      <w:pPr>
        <w:spacing w:line="336" w:lineRule="auto"/>
        <w:ind w:right="51" w:firstLine="851"/>
        <w:jc w:val="both"/>
        <w:rPr>
          <w:rFonts w:ascii="Bookman Old Style" w:hAnsi="Bookman Old Style"/>
          <w:sz w:val="27"/>
          <w:szCs w:val="27"/>
          <w:lang w:val="es-CO"/>
        </w:rPr>
      </w:pPr>
    </w:p>
    <w:p w:rsidR="004674BE" w:rsidRPr="00DF767A" w:rsidRDefault="000D16DE" w:rsidP="004674BE">
      <w:pPr>
        <w:spacing w:line="336" w:lineRule="auto"/>
        <w:ind w:right="51" w:firstLine="851"/>
        <w:jc w:val="both"/>
        <w:rPr>
          <w:rFonts w:ascii="Bookman Old Style" w:hAnsi="Bookman Old Style"/>
          <w:sz w:val="27"/>
          <w:szCs w:val="27"/>
          <w:lang w:val="es-CO"/>
        </w:rPr>
      </w:pPr>
      <w:r w:rsidRPr="00DF767A">
        <w:rPr>
          <w:rFonts w:ascii="Bookman Old Style" w:hAnsi="Bookman Old Style"/>
          <w:sz w:val="27"/>
          <w:szCs w:val="27"/>
          <w:lang w:val="es-CO"/>
        </w:rPr>
        <w:t xml:space="preserve">En esa dirección, si se llegare a conceder la suspensión </w:t>
      </w:r>
      <w:r w:rsidR="004674BE" w:rsidRPr="00DF767A">
        <w:rPr>
          <w:rFonts w:ascii="Bookman Old Style" w:hAnsi="Bookman Old Style"/>
          <w:sz w:val="27"/>
          <w:szCs w:val="27"/>
          <w:lang w:val="es-CO"/>
        </w:rPr>
        <w:t>condicional de la</w:t>
      </w:r>
      <w:r w:rsidRPr="00DF767A">
        <w:rPr>
          <w:rFonts w:ascii="Bookman Old Style" w:hAnsi="Bookman Old Style"/>
          <w:sz w:val="27"/>
          <w:szCs w:val="27"/>
          <w:lang w:val="es-CO"/>
        </w:rPr>
        <w:t xml:space="preserve"> ejecución de la pena, </w:t>
      </w:r>
      <w:r w:rsidR="004674BE" w:rsidRPr="00DF767A">
        <w:rPr>
          <w:rFonts w:ascii="Bookman Old Style" w:hAnsi="Bookman Old Style"/>
          <w:sz w:val="27"/>
          <w:szCs w:val="27"/>
          <w:lang w:val="es-CO"/>
        </w:rPr>
        <w:t xml:space="preserve">cesan en ese instante los efectos de la medida de aseguramiento de detención preventiva, pero si </w:t>
      </w:r>
      <w:r w:rsidR="008464E2" w:rsidRPr="00DF767A">
        <w:rPr>
          <w:rFonts w:ascii="Bookman Old Style" w:hAnsi="Bookman Old Style"/>
          <w:sz w:val="27"/>
          <w:szCs w:val="27"/>
          <w:lang w:val="es-CO"/>
        </w:rPr>
        <w:t>por el contrario</w:t>
      </w:r>
      <w:r w:rsidR="00767A2E" w:rsidRPr="00DF767A">
        <w:rPr>
          <w:rFonts w:ascii="Bookman Old Style" w:hAnsi="Bookman Old Style"/>
          <w:sz w:val="27"/>
          <w:szCs w:val="27"/>
          <w:lang w:val="es-CO"/>
        </w:rPr>
        <w:t xml:space="preserve"> se negare</w:t>
      </w:r>
      <w:r w:rsidR="004674BE" w:rsidRPr="00DF767A">
        <w:rPr>
          <w:rFonts w:ascii="Bookman Old Style" w:hAnsi="Bookman Old Style"/>
          <w:sz w:val="27"/>
          <w:szCs w:val="27"/>
          <w:lang w:val="es-CO"/>
        </w:rPr>
        <w:t>, la privación de la libertad</w:t>
      </w:r>
      <w:r w:rsidRPr="00DF767A">
        <w:rPr>
          <w:rFonts w:ascii="Bookman Old Style" w:hAnsi="Bookman Old Style"/>
          <w:sz w:val="27"/>
          <w:szCs w:val="27"/>
          <w:lang w:val="es-CO"/>
        </w:rPr>
        <w:t xml:space="preserve">, </w:t>
      </w:r>
      <w:r w:rsidRPr="00DF767A">
        <w:rPr>
          <w:rFonts w:ascii="Bookman Old Style" w:hAnsi="Bookman Old Style"/>
          <w:i/>
          <w:sz w:val="27"/>
          <w:szCs w:val="27"/>
          <w:lang w:val="es-CO"/>
        </w:rPr>
        <w:t>en adelant</w:t>
      </w:r>
      <w:r w:rsidR="004674BE" w:rsidRPr="00DF767A">
        <w:rPr>
          <w:rFonts w:ascii="Bookman Old Style" w:hAnsi="Bookman Old Style"/>
          <w:i/>
          <w:sz w:val="27"/>
          <w:szCs w:val="27"/>
          <w:lang w:val="es-CO"/>
        </w:rPr>
        <w:t>e</w:t>
      </w:r>
      <w:r w:rsidRPr="00DF767A">
        <w:rPr>
          <w:rFonts w:ascii="Bookman Old Style" w:hAnsi="Bookman Old Style"/>
          <w:sz w:val="27"/>
          <w:szCs w:val="27"/>
          <w:lang w:val="es-CO"/>
        </w:rPr>
        <w:t>,</w:t>
      </w:r>
      <w:r w:rsidR="004674BE" w:rsidRPr="00DF767A">
        <w:rPr>
          <w:rFonts w:ascii="Bookman Old Style" w:hAnsi="Bookman Old Style"/>
          <w:sz w:val="27"/>
          <w:szCs w:val="27"/>
          <w:lang w:val="es-CO"/>
        </w:rPr>
        <w:t xml:space="preserve"> se fundamentará en la denegación del ben</w:t>
      </w:r>
      <w:r w:rsidRPr="00DF767A">
        <w:rPr>
          <w:rFonts w:ascii="Bookman Old Style" w:hAnsi="Bookman Old Style"/>
          <w:sz w:val="27"/>
          <w:szCs w:val="27"/>
          <w:lang w:val="es-CO"/>
        </w:rPr>
        <w:t>eficio, decretada</w:t>
      </w:r>
      <w:r w:rsidR="004674BE" w:rsidRPr="00DF767A">
        <w:rPr>
          <w:rFonts w:ascii="Bookman Old Style" w:hAnsi="Bookman Old Style"/>
          <w:sz w:val="27"/>
          <w:szCs w:val="27"/>
          <w:lang w:val="es-CO"/>
        </w:rPr>
        <w:t xml:space="preserve"> en la </w:t>
      </w:r>
      <w:r w:rsidR="004674BE" w:rsidRPr="00DF767A">
        <w:rPr>
          <w:rFonts w:ascii="Bookman Old Style" w:hAnsi="Bookman Old Style"/>
          <w:i/>
          <w:sz w:val="27"/>
          <w:szCs w:val="27"/>
          <w:lang w:val="es-CO"/>
        </w:rPr>
        <w:t>sentencia condenatoria</w:t>
      </w:r>
      <w:r w:rsidR="004674BE" w:rsidRPr="00DF767A">
        <w:rPr>
          <w:rFonts w:ascii="Bookman Old Style" w:hAnsi="Bookman Old Style"/>
          <w:sz w:val="27"/>
          <w:szCs w:val="27"/>
          <w:lang w:val="es-CO"/>
        </w:rPr>
        <w:t>.</w:t>
      </w:r>
    </w:p>
    <w:p w:rsidR="004674BE" w:rsidRPr="00DF767A" w:rsidRDefault="004674BE" w:rsidP="004674BE">
      <w:pPr>
        <w:spacing w:line="336" w:lineRule="auto"/>
        <w:ind w:right="51" w:firstLine="851"/>
        <w:jc w:val="both"/>
        <w:rPr>
          <w:rFonts w:ascii="Bookman Old Style" w:hAnsi="Bookman Old Style"/>
          <w:sz w:val="27"/>
          <w:szCs w:val="27"/>
          <w:lang w:val="es-CO"/>
        </w:rPr>
      </w:pPr>
    </w:p>
    <w:p w:rsidR="004674BE" w:rsidRPr="00DF767A" w:rsidRDefault="000D16DE" w:rsidP="004674BE">
      <w:pPr>
        <w:spacing w:line="336" w:lineRule="auto"/>
        <w:ind w:right="51" w:firstLine="851"/>
        <w:jc w:val="both"/>
        <w:rPr>
          <w:rFonts w:ascii="Bookman Old Style" w:hAnsi="Bookman Old Style"/>
          <w:sz w:val="27"/>
          <w:szCs w:val="27"/>
          <w:lang w:val="es-CO"/>
        </w:rPr>
      </w:pPr>
      <w:r w:rsidRPr="00DF767A">
        <w:rPr>
          <w:rFonts w:ascii="Bookman Old Style" w:hAnsi="Bookman Old Style"/>
          <w:sz w:val="27"/>
          <w:szCs w:val="27"/>
          <w:lang w:val="es-CO"/>
        </w:rPr>
        <w:t>De igual manera,</w:t>
      </w:r>
      <w:r w:rsidR="004674BE" w:rsidRPr="00DF767A">
        <w:rPr>
          <w:rFonts w:ascii="Bookman Old Style" w:hAnsi="Bookman Old Style"/>
          <w:sz w:val="27"/>
          <w:szCs w:val="27"/>
          <w:lang w:val="es-CO"/>
        </w:rPr>
        <w:t xml:space="preserve"> al aplicar el art</w:t>
      </w:r>
      <w:r w:rsidRPr="00DF767A">
        <w:rPr>
          <w:rFonts w:ascii="Bookman Old Style" w:hAnsi="Bookman Old Style"/>
          <w:sz w:val="27"/>
          <w:szCs w:val="27"/>
          <w:lang w:val="es-CO"/>
        </w:rPr>
        <w:t>.</w:t>
      </w:r>
      <w:r w:rsidR="004674BE" w:rsidRPr="00DF767A">
        <w:rPr>
          <w:rFonts w:ascii="Bookman Old Style" w:hAnsi="Bookman Old Style"/>
          <w:sz w:val="27"/>
          <w:szCs w:val="27"/>
          <w:lang w:val="es-CO"/>
        </w:rPr>
        <w:t xml:space="preserve"> 68</w:t>
      </w:r>
      <w:r w:rsidRPr="00DF767A">
        <w:rPr>
          <w:rFonts w:ascii="Bookman Old Style" w:hAnsi="Bookman Old Style"/>
          <w:sz w:val="27"/>
          <w:szCs w:val="27"/>
          <w:lang w:val="es-CO"/>
        </w:rPr>
        <w:t xml:space="preserve"> </w:t>
      </w:r>
      <w:r w:rsidR="004674BE" w:rsidRPr="00DF767A">
        <w:rPr>
          <w:rFonts w:ascii="Bookman Old Style" w:hAnsi="Bookman Old Style"/>
          <w:sz w:val="27"/>
          <w:szCs w:val="27"/>
          <w:lang w:val="es-CO"/>
        </w:rPr>
        <w:t>A del</w:t>
      </w:r>
      <w:r w:rsidRPr="00DF767A">
        <w:rPr>
          <w:rFonts w:ascii="Bookman Old Style" w:hAnsi="Bookman Old Style"/>
          <w:sz w:val="27"/>
          <w:szCs w:val="27"/>
          <w:lang w:val="es-CO"/>
        </w:rPr>
        <w:t xml:space="preserve"> C.P., </w:t>
      </w:r>
      <w:r w:rsidR="004674BE" w:rsidRPr="00DF767A">
        <w:rPr>
          <w:rFonts w:ascii="Bookman Old Style" w:hAnsi="Bookman Old Style"/>
          <w:sz w:val="27"/>
          <w:szCs w:val="27"/>
          <w:lang w:val="es-CO"/>
        </w:rPr>
        <w:t xml:space="preserve">si hay lugar a la </w:t>
      </w:r>
      <w:r w:rsidRPr="00DF767A">
        <w:rPr>
          <w:rFonts w:ascii="Bookman Old Style" w:hAnsi="Bookman Old Style"/>
          <w:sz w:val="27"/>
          <w:szCs w:val="27"/>
          <w:lang w:val="es-CO"/>
        </w:rPr>
        <w:t>negativa</w:t>
      </w:r>
      <w:r w:rsidR="004674BE" w:rsidRPr="00DF767A">
        <w:rPr>
          <w:rFonts w:ascii="Bookman Old Style" w:hAnsi="Bookman Old Style"/>
          <w:sz w:val="27"/>
          <w:szCs w:val="27"/>
          <w:lang w:val="es-CO"/>
        </w:rPr>
        <w:t xml:space="preserve"> de subrogados penales</w:t>
      </w:r>
      <w:r w:rsidRPr="00DF767A">
        <w:rPr>
          <w:rFonts w:ascii="Bookman Old Style" w:hAnsi="Bookman Old Style"/>
          <w:sz w:val="27"/>
          <w:szCs w:val="27"/>
          <w:lang w:val="es-CO"/>
        </w:rPr>
        <w:t xml:space="preserve">, ello </w:t>
      </w:r>
      <w:r w:rsidR="00944F67" w:rsidRPr="00DF767A">
        <w:rPr>
          <w:rFonts w:ascii="Bookman Old Style" w:hAnsi="Bookman Old Style"/>
          <w:sz w:val="27"/>
          <w:szCs w:val="27"/>
          <w:lang w:val="es-CO"/>
        </w:rPr>
        <w:t>se materializa</w:t>
      </w:r>
      <w:r w:rsidRPr="00DF767A">
        <w:rPr>
          <w:rFonts w:ascii="Bookman Old Style" w:hAnsi="Bookman Old Style"/>
          <w:sz w:val="27"/>
          <w:szCs w:val="27"/>
          <w:lang w:val="es-CO"/>
        </w:rPr>
        <w:t xml:space="preserve"> en el fallo condenatorio. Es en ese instante cuando </w:t>
      </w:r>
      <w:r w:rsidR="004674BE" w:rsidRPr="00DF767A">
        <w:rPr>
          <w:rFonts w:ascii="Bookman Old Style" w:hAnsi="Bookman Old Style"/>
          <w:sz w:val="27"/>
          <w:szCs w:val="27"/>
          <w:lang w:val="es-CO"/>
        </w:rPr>
        <w:t xml:space="preserve">cesan los </w:t>
      </w:r>
      <w:r w:rsidR="004674BE" w:rsidRPr="00DF767A">
        <w:rPr>
          <w:rFonts w:ascii="Bookman Old Style" w:hAnsi="Bookman Old Style"/>
          <w:sz w:val="27"/>
          <w:szCs w:val="27"/>
          <w:lang w:val="es-CO"/>
        </w:rPr>
        <w:lastRenderedPageBreak/>
        <w:t>efectos jurídicos de la medida de aseguramiento de detención preventiva, de manera que la privación de la libertad del procesado</w:t>
      </w:r>
      <w:r w:rsidRPr="00DF767A">
        <w:rPr>
          <w:rFonts w:ascii="Bookman Old Style" w:hAnsi="Bookman Old Style"/>
          <w:sz w:val="27"/>
          <w:szCs w:val="27"/>
          <w:lang w:val="es-CO"/>
        </w:rPr>
        <w:t>,</w:t>
      </w:r>
      <w:r w:rsidR="004674BE" w:rsidRPr="00DF767A">
        <w:rPr>
          <w:rFonts w:ascii="Bookman Old Style" w:hAnsi="Bookman Old Style"/>
          <w:sz w:val="27"/>
          <w:szCs w:val="27"/>
          <w:lang w:val="es-CO"/>
        </w:rPr>
        <w:t xml:space="preserve"> en </w:t>
      </w:r>
      <w:r w:rsidRPr="00DF767A">
        <w:rPr>
          <w:rFonts w:ascii="Bookman Old Style" w:hAnsi="Bookman Old Style"/>
          <w:sz w:val="27"/>
          <w:szCs w:val="27"/>
          <w:lang w:val="es-CO"/>
        </w:rPr>
        <w:t xml:space="preserve">lo sucesivo, también estará sujeta a lo señalado en </w:t>
      </w:r>
      <w:r w:rsidRPr="00DF767A">
        <w:rPr>
          <w:rFonts w:ascii="Bookman Old Style" w:hAnsi="Bookman Old Style"/>
          <w:i/>
          <w:sz w:val="27"/>
          <w:szCs w:val="27"/>
          <w:lang w:val="es-CO"/>
        </w:rPr>
        <w:t>el fallo</w:t>
      </w:r>
      <w:r w:rsidRPr="00DF767A">
        <w:rPr>
          <w:rFonts w:ascii="Bookman Old Style" w:hAnsi="Bookman Old Style"/>
          <w:sz w:val="27"/>
          <w:szCs w:val="27"/>
          <w:lang w:val="es-CO"/>
        </w:rPr>
        <w:t xml:space="preserve"> </w:t>
      </w:r>
      <w:r w:rsidRPr="00DF767A">
        <w:rPr>
          <w:rFonts w:ascii="Bookman Old Style" w:hAnsi="Bookman Old Style"/>
          <w:i/>
          <w:sz w:val="27"/>
          <w:szCs w:val="27"/>
          <w:lang w:val="es-CO"/>
        </w:rPr>
        <w:t>que declara la responsabilidad penal</w:t>
      </w:r>
      <w:r w:rsidRPr="00DF767A">
        <w:rPr>
          <w:rFonts w:ascii="Bookman Old Style" w:hAnsi="Bookman Old Style"/>
          <w:sz w:val="27"/>
          <w:szCs w:val="27"/>
          <w:lang w:val="es-CO"/>
        </w:rPr>
        <w:t xml:space="preserve">. </w:t>
      </w:r>
    </w:p>
    <w:p w:rsidR="004674BE" w:rsidRPr="00DF767A" w:rsidRDefault="004674BE" w:rsidP="004674BE">
      <w:pPr>
        <w:spacing w:line="336" w:lineRule="auto"/>
        <w:ind w:right="51" w:firstLine="851"/>
        <w:jc w:val="both"/>
        <w:rPr>
          <w:rFonts w:ascii="Bookman Old Style" w:hAnsi="Bookman Old Style"/>
          <w:sz w:val="27"/>
          <w:szCs w:val="27"/>
          <w:lang w:val="es-CO"/>
        </w:rPr>
      </w:pPr>
    </w:p>
    <w:p w:rsidR="004674BE" w:rsidRPr="00DF767A" w:rsidRDefault="00746123" w:rsidP="004674BE">
      <w:pPr>
        <w:spacing w:line="336" w:lineRule="auto"/>
        <w:ind w:right="51" w:firstLine="851"/>
        <w:jc w:val="both"/>
        <w:rPr>
          <w:rFonts w:ascii="Bookman Old Style" w:hAnsi="Bookman Old Style"/>
          <w:sz w:val="27"/>
          <w:szCs w:val="27"/>
          <w:lang w:val="es-CO"/>
        </w:rPr>
      </w:pPr>
      <w:r w:rsidRPr="00DF767A">
        <w:rPr>
          <w:rFonts w:ascii="Bookman Old Style" w:hAnsi="Bookman Old Style"/>
          <w:sz w:val="27"/>
          <w:szCs w:val="27"/>
          <w:lang w:val="es-CO"/>
        </w:rPr>
        <w:t xml:space="preserve">Por consiguiente, </w:t>
      </w:r>
      <w:r w:rsidR="004674BE" w:rsidRPr="00DF767A">
        <w:rPr>
          <w:rFonts w:ascii="Bookman Old Style" w:hAnsi="Bookman Old Style"/>
          <w:sz w:val="27"/>
          <w:szCs w:val="27"/>
          <w:lang w:val="es-CO"/>
        </w:rPr>
        <w:t xml:space="preserve">en los procesos </w:t>
      </w:r>
      <w:r w:rsidRPr="00DF767A">
        <w:rPr>
          <w:rFonts w:ascii="Bookman Old Style" w:hAnsi="Bookman Old Style"/>
          <w:sz w:val="27"/>
          <w:szCs w:val="27"/>
          <w:lang w:val="es-CO"/>
        </w:rPr>
        <w:t>regidos por</w:t>
      </w:r>
      <w:r w:rsidR="004674BE" w:rsidRPr="00DF767A">
        <w:rPr>
          <w:rFonts w:ascii="Bookman Old Style" w:hAnsi="Bookman Old Style"/>
          <w:sz w:val="27"/>
          <w:szCs w:val="27"/>
          <w:lang w:val="es-CO"/>
        </w:rPr>
        <w:t xml:space="preserve"> la Ley 906 de 2004, la medida de aseguramiento tiene vigencia hasta el anuncio del sentido de fallo </w:t>
      </w:r>
      <w:r w:rsidR="004674BE" w:rsidRPr="00DF767A">
        <w:rPr>
          <w:rFonts w:ascii="Bookman Old Style" w:hAnsi="Bookman Old Style"/>
          <w:i/>
          <w:sz w:val="27"/>
          <w:szCs w:val="27"/>
          <w:lang w:val="es-CO"/>
        </w:rPr>
        <w:t>condenatorio</w:t>
      </w:r>
      <w:r w:rsidR="004674BE" w:rsidRPr="00DF767A">
        <w:rPr>
          <w:rFonts w:ascii="Bookman Old Style" w:hAnsi="Bookman Old Style"/>
          <w:sz w:val="27"/>
          <w:szCs w:val="27"/>
          <w:lang w:val="es-CO"/>
        </w:rPr>
        <w:t>, allí</w:t>
      </w:r>
      <w:r w:rsidR="00397980" w:rsidRPr="00DF767A">
        <w:rPr>
          <w:rFonts w:ascii="Bookman Old Style" w:hAnsi="Bookman Old Style"/>
          <w:sz w:val="27"/>
          <w:szCs w:val="27"/>
          <w:lang w:val="es-CO"/>
        </w:rPr>
        <w:t xml:space="preserve"> el juez puede hacer una</w:t>
      </w:r>
      <w:r w:rsidR="004674BE" w:rsidRPr="00DF767A">
        <w:rPr>
          <w:rFonts w:ascii="Bookman Old Style" w:hAnsi="Bookman Old Style"/>
          <w:sz w:val="27"/>
          <w:szCs w:val="27"/>
          <w:lang w:val="es-CO"/>
        </w:rPr>
        <w:t xml:space="preserve"> manifestación expresa acerca de la libertad del procesado</w:t>
      </w:r>
      <w:r w:rsidRPr="00DF767A">
        <w:rPr>
          <w:rFonts w:ascii="Bookman Old Style" w:hAnsi="Bookman Old Style"/>
          <w:sz w:val="27"/>
          <w:szCs w:val="27"/>
          <w:lang w:val="es-CO"/>
        </w:rPr>
        <w:t>,</w:t>
      </w:r>
      <w:r w:rsidR="00397980" w:rsidRPr="00DF767A">
        <w:rPr>
          <w:rFonts w:ascii="Bookman Old Style" w:hAnsi="Bookman Old Style"/>
          <w:sz w:val="27"/>
          <w:szCs w:val="27"/>
          <w:lang w:val="es-CO"/>
        </w:rPr>
        <w:t xml:space="preserve"> disponiendo</w:t>
      </w:r>
      <w:r w:rsidR="004674BE" w:rsidRPr="00DF767A">
        <w:rPr>
          <w:rFonts w:ascii="Bookman Old Style" w:hAnsi="Bookman Old Style"/>
          <w:sz w:val="27"/>
          <w:szCs w:val="27"/>
          <w:lang w:val="es-CO"/>
        </w:rPr>
        <w:t xml:space="preserve"> su encarcelamiento, pero si omite hacer una manifestación al respecto en esa oportunidad, la vigencia de la medida se extenderá hasta </w:t>
      </w:r>
      <w:r w:rsidR="00437AF3" w:rsidRPr="00DF767A">
        <w:rPr>
          <w:rFonts w:ascii="Bookman Old Style" w:hAnsi="Bookman Old Style"/>
          <w:sz w:val="27"/>
          <w:szCs w:val="27"/>
          <w:lang w:val="es-CO"/>
        </w:rPr>
        <w:t xml:space="preserve">la lectura de </w:t>
      </w:r>
      <w:r w:rsidR="004674BE" w:rsidRPr="00DF767A">
        <w:rPr>
          <w:rFonts w:ascii="Bookman Old Style" w:hAnsi="Bookman Old Style"/>
          <w:sz w:val="27"/>
          <w:szCs w:val="27"/>
          <w:lang w:val="es-CO"/>
        </w:rPr>
        <w:t xml:space="preserve">la sentencia, </w:t>
      </w:r>
      <w:r w:rsidRPr="00DF767A">
        <w:rPr>
          <w:rFonts w:ascii="Bookman Old Style" w:hAnsi="Bookman Old Style"/>
          <w:sz w:val="27"/>
          <w:szCs w:val="27"/>
          <w:lang w:val="es-CO"/>
        </w:rPr>
        <w:t>momento en el que, por</w:t>
      </w:r>
      <w:r w:rsidR="004674BE" w:rsidRPr="00DF767A">
        <w:rPr>
          <w:rFonts w:ascii="Bookman Old Style" w:hAnsi="Bookman Old Style"/>
          <w:sz w:val="27"/>
          <w:szCs w:val="27"/>
          <w:lang w:val="es-CO"/>
        </w:rPr>
        <w:t xml:space="preserve"> mandato legal, n</w:t>
      </w:r>
      <w:r w:rsidR="00DA454B" w:rsidRPr="00DF767A">
        <w:rPr>
          <w:rFonts w:ascii="Bookman Old Style" w:hAnsi="Bookman Old Style"/>
          <w:sz w:val="27"/>
          <w:szCs w:val="27"/>
          <w:lang w:val="es-CO"/>
        </w:rPr>
        <w:t>o só</w:t>
      </w:r>
      <w:r w:rsidRPr="00DF767A">
        <w:rPr>
          <w:rFonts w:ascii="Bookman Old Style" w:hAnsi="Bookman Old Style"/>
          <w:sz w:val="27"/>
          <w:szCs w:val="27"/>
          <w:lang w:val="es-CO"/>
        </w:rPr>
        <w:t xml:space="preserve">lo debe imponer la pena de prisión, </w:t>
      </w:r>
      <w:r w:rsidR="004674BE" w:rsidRPr="00DF767A">
        <w:rPr>
          <w:rFonts w:ascii="Bookman Old Style" w:hAnsi="Bookman Old Style"/>
          <w:sz w:val="27"/>
          <w:szCs w:val="27"/>
          <w:lang w:val="es-CO"/>
        </w:rPr>
        <w:t xml:space="preserve">sino que </w:t>
      </w:r>
      <w:r w:rsidR="00410232" w:rsidRPr="00DF767A">
        <w:rPr>
          <w:rFonts w:ascii="Bookman Old Style" w:hAnsi="Bookman Old Style"/>
          <w:sz w:val="27"/>
          <w:szCs w:val="27"/>
          <w:lang w:val="es-CO"/>
        </w:rPr>
        <w:t>ha de</w:t>
      </w:r>
      <w:r w:rsidRPr="00DF767A">
        <w:rPr>
          <w:rFonts w:ascii="Bookman Old Style" w:hAnsi="Bookman Old Style"/>
          <w:sz w:val="27"/>
          <w:szCs w:val="27"/>
          <w:lang w:val="es-CO"/>
        </w:rPr>
        <w:t xml:space="preserve"> resolver sobre la libertad; </w:t>
      </w:r>
      <w:r w:rsidR="004674BE" w:rsidRPr="00DF767A">
        <w:rPr>
          <w:rFonts w:ascii="Bookman Old Style" w:hAnsi="Bookman Old Style"/>
          <w:sz w:val="27"/>
          <w:szCs w:val="27"/>
          <w:lang w:val="es-CO"/>
        </w:rPr>
        <w:t>en particular</w:t>
      </w:r>
      <w:r w:rsidRPr="00DF767A">
        <w:rPr>
          <w:rFonts w:ascii="Bookman Old Style" w:hAnsi="Bookman Old Style"/>
          <w:sz w:val="27"/>
          <w:szCs w:val="27"/>
          <w:lang w:val="es-CO"/>
        </w:rPr>
        <w:t>,</w:t>
      </w:r>
      <w:r w:rsidR="004674BE" w:rsidRPr="00DF767A">
        <w:rPr>
          <w:rFonts w:ascii="Bookman Old Style" w:hAnsi="Bookman Old Style"/>
          <w:sz w:val="27"/>
          <w:szCs w:val="27"/>
          <w:lang w:val="es-CO"/>
        </w:rPr>
        <w:t xml:space="preserve"> </w:t>
      </w:r>
      <w:r w:rsidRPr="00DF767A">
        <w:rPr>
          <w:rFonts w:ascii="Bookman Old Style" w:hAnsi="Bookman Old Style"/>
          <w:sz w:val="27"/>
          <w:szCs w:val="27"/>
          <w:lang w:val="es-CO"/>
        </w:rPr>
        <w:t>sobre</w:t>
      </w:r>
      <w:r w:rsidR="004674BE" w:rsidRPr="00DF767A">
        <w:rPr>
          <w:rFonts w:ascii="Bookman Old Style" w:hAnsi="Bookman Old Style"/>
          <w:sz w:val="27"/>
          <w:szCs w:val="27"/>
          <w:lang w:val="es-CO"/>
        </w:rPr>
        <w:t xml:space="preserve"> la concesión o n</w:t>
      </w:r>
      <w:r w:rsidRPr="00DF767A">
        <w:rPr>
          <w:rFonts w:ascii="Bookman Old Style" w:hAnsi="Bookman Old Style"/>
          <w:sz w:val="27"/>
          <w:szCs w:val="27"/>
          <w:lang w:val="es-CO"/>
        </w:rPr>
        <w:t xml:space="preserve">egativa </w:t>
      </w:r>
      <w:r w:rsidR="004674BE" w:rsidRPr="00DF767A">
        <w:rPr>
          <w:rFonts w:ascii="Bookman Old Style" w:hAnsi="Bookman Old Style"/>
          <w:sz w:val="27"/>
          <w:szCs w:val="27"/>
          <w:lang w:val="es-CO"/>
        </w:rPr>
        <w:t>de los sustitutos y subrogados penales.</w:t>
      </w:r>
    </w:p>
    <w:p w:rsidR="00004081" w:rsidRPr="00DF767A" w:rsidRDefault="00004081" w:rsidP="004674BE">
      <w:pPr>
        <w:spacing w:line="336" w:lineRule="auto"/>
        <w:ind w:right="51" w:firstLine="851"/>
        <w:jc w:val="both"/>
        <w:rPr>
          <w:rFonts w:ascii="Bookman Old Style" w:hAnsi="Bookman Old Style"/>
          <w:sz w:val="27"/>
          <w:szCs w:val="27"/>
          <w:lang w:val="es-CO"/>
        </w:rPr>
      </w:pPr>
    </w:p>
    <w:p w:rsidR="00004081" w:rsidRPr="00DF767A" w:rsidRDefault="00004081" w:rsidP="004674BE">
      <w:pPr>
        <w:spacing w:line="336" w:lineRule="auto"/>
        <w:ind w:right="51" w:firstLine="851"/>
        <w:jc w:val="both"/>
        <w:rPr>
          <w:rFonts w:ascii="Bookman Old Style" w:hAnsi="Bookman Old Style"/>
          <w:sz w:val="27"/>
          <w:szCs w:val="27"/>
          <w:lang w:val="es-CO"/>
        </w:rPr>
      </w:pPr>
      <w:r w:rsidRPr="00DF767A">
        <w:rPr>
          <w:rFonts w:ascii="Bookman Old Style" w:hAnsi="Bookman Old Style"/>
          <w:sz w:val="27"/>
          <w:szCs w:val="27"/>
          <w:lang w:val="es-CO"/>
        </w:rPr>
        <w:t xml:space="preserve">Tales razones impiden, entonces, </w:t>
      </w:r>
      <w:r w:rsidR="00F925AB" w:rsidRPr="00DF767A">
        <w:rPr>
          <w:rFonts w:ascii="Bookman Old Style" w:hAnsi="Bookman Old Style"/>
          <w:sz w:val="27"/>
          <w:szCs w:val="27"/>
          <w:lang w:val="es-CO"/>
        </w:rPr>
        <w:t>afirmar</w:t>
      </w:r>
      <w:r w:rsidRPr="00DF767A">
        <w:rPr>
          <w:rFonts w:ascii="Bookman Old Style" w:hAnsi="Bookman Old Style"/>
          <w:sz w:val="27"/>
          <w:szCs w:val="27"/>
          <w:lang w:val="es-CO"/>
        </w:rPr>
        <w:t xml:space="preserve"> que </w:t>
      </w:r>
      <w:r w:rsidR="003E51BE" w:rsidRPr="00DF767A">
        <w:rPr>
          <w:rFonts w:ascii="Bookman Old Style" w:hAnsi="Bookman Old Style"/>
          <w:sz w:val="27"/>
          <w:szCs w:val="27"/>
          <w:lang w:val="es-CO"/>
        </w:rPr>
        <w:t xml:space="preserve">el cumplimiento del mandato de juzgar al detenido dentro del plazo máximo legal </w:t>
      </w:r>
      <w:r w:rsidR="003E51BE" w:rsidRPr="00DF767A">
        <w:rPr>
          <w:rFonts w:ascii="Bookman Old Style" w:hAnsi="Bookman Old Style"/>
          <w:sz w:val="25"/>
          <w:szCs w:val="25"/>
          <w:lang w:val="es-CO"/>
        </w:rPr>
        <w:t>-genérico-</w:t>
      </w:r>
      <w:r w:rsidR="003E51BE" w:rsidRPr="00DF767A">
        <w:rPr>
          <w:rFonts w:ascii="Bookman Old Style" w:hAnsi="Bookman Old Style"/>
          <w:sz w:val="27"/>
          <w:szCs w:val="27"/>
          <w:lang w:val="es-CO"/>
        </w:rPr>
        <w:t xml:space="preserve"> </w:t>
      </w:r>
      <w:r w:rsidR="00E922E8" w:rsidRPr="00DF767A">
        <w:rPr>
          <w:rFonts w:ascii="Bookman Old Style" w:hAnsi="Bookman Old Style"/>
          <w:sz w:val="25"/>
          <w:szCs w:val="25"/>
          <w:lang w:val="es-CO"/>
        </w:rPr>
        <w:t>(art. 1º de la Ley 1786 de 2016</w:t>
      </w:r>
      <w:r w:rsidR="00FF01A7" w:rsidRPr="00DF767A">
        <w:rPr>
          <w:rFonts w:ascii="Bookman Old Style" w:hAnsi="Bookman Old Style"/>
          <w:sz w:val="25"/>
          <w:szCs w:val="25"/>
          <w:lang w:val="es-CO"/>
        </w:rPr>
        <w:t>, que modificó el art. 307 de la Ley 906 de 2004</w:t>
      </w:r>
      <w:r w:rsidR="00E922E8" w:rsidRPr="00DF767A">
        <w:rPr>
          <w:rFonts w:ascii="Bookman Old Style" w:hAnsi="Bookman Old Style"/>
          <w:sz w:val="25"/>
          <w:szCs w:val="25"/>
          <w:lang w:val="es-CO"/>
        </w:rPr>
        <w:t>)</w:t>
      </w:r>
      <w:r w:rsidR="00235738" w:rsidRPr="00DF767A">
        <w:rPr>
          <w:rFonts w:ascii="Bookman Old Style" w:hAnsi="Bookman Old Style"/>
          <w:sz w:val="27"/>
          <w:szCs w:val="27"/>
          <w:lang w:val="es-CO"/>
        </w:rPr>
        <w:t xml:space="preserve"> se cumple con la lectura </w:t>
      </w:r>
      <w:r w:rsidR="00767A2E" w:rsidRPr="00DF767A">
        <w:rPr>
          <w:rFonts w:ascii="Bookman Old Style" w:hAnsi="Bookman Old Style"/>
          <w:sz w:val="27"/>
          <w:szCs w:val="27"/>
          <w:lang w:val="es-CO"/>
        </w:rPr>
        <w:t>del fallo de segundo grado</w:t>
      </w:r>
      <w:r w:rsidR="00FF01A7" w:rsidRPr="00DF767A">
        <w:rPr>
          <w:rFonts w:ascii="Bookman Old Style" w:hAnsi="Bookman Old Style"/>
          <w:sz w:val="27"/>
          <w:szCs w:val="27"/>
          <w:lang w:val="es-CO"/>
        </w:rPr>
        <w:t xml:space="preserve">, </w:t>
      </w:r>
      <w:r w:rsidR="00A547B9" w:rsidRPr="00DF767A">
        <w:rPr>
          <w:rFonts w:ascii="Bookman Old Style" w:hAnsi="Bookman Old Style"/>
          <w:sz w:val="27"/>
          <w:szCs w:val="27"/>
          <w:lang w:val="es-CO"/>
        </w:rPr>
        <w:t xml:space="preserve">como lo </w:t>
      </w:r>
      <w:r w:rsidR="000D2F8C" w:rsidRPr="00DF767A">
        <w:rPr>
          <w:rFonts w:ascii="Bookman Old Style" w:hAnsi="Bookman Old Style"/>
          <w:sz w:val="27"/>
          <w:szCs w:val="27"/>
          <w:lang w:val="es-CO"/>
        </w:rPr>
        <w:t>comprende</w:t>
      </w:r>
      <w:r w:rsidR="00A547B9" w:rsidRPr="00DF767A">
        <w:rPr>
          <w:rFonts w:ascii="Bookman Old Style" w:hAnsi="Bookman Old Style"/>
          <w:sz w:val="27"/>
          <w:szCs w:val="27"/>
          <w:lang w:val="es-CO"/>
        </w:rPr>
        <w:t xml:space="preserve"> la jurisprudencia constitucional. </w:t>
      </w:r>
    </w:p>
    <w:p w:rsidR="00A547B9" w:rsidRPr="00DF767A" w:rsidRDefault="00A547B9" w:rsidP="004674BE">
      <w:pPr>
        <w:spacing w:line="336" w:lineRule="auto"/>
        <w:ind w:right="51" w:firstLine="851"/>
        <w:jc w:val="both"/>
        <w:rPr>
          <w:rFonts w:ascii="Bookman Old Style" w:hAnsi="Bookman Old Style"/>
          <w:sz w:val="27"/>
          <w:szCs w:val="27"/>
          <w:lang w:val="es-CO"/>
        </w:rPr>
      </w:pPr>
    </w:p>
    <w:p w:rsidR="00A547B9" w:rsidRPr="00DF767A" w:rsidRDefault="00A547B9" w:rsidP="004674BE">
      <w:pPr>
        <w:spacing w:line="336" w:lineRule="auto"/>
        <w:ind w:right="51" w:firstLine="851"/>
        <w:jc w:val="both"/>
        <w:rPr>
          <w:rFonts w:ascii="Bookman Old Style" w:hAnsi="Bookman Old Style"/>
          <w:sz w:val="27"/>
          <w:szCs w:val="27"/>
          <w:lang w:val="es-CO"/>
        </w:rPr>
      </w:pPr>
      <w:r w:rsidRPr="00DF767A">
        <w:rPr>
          <w:rFonts w:ascii="Bookman Old Style" w:hAnsi="Bookman Old Style"/>
          <w:sz w:val="27"/>
          <w:szCs w:val="27"/>
          <w:lang w:val="es-CO"/>
        </w:rPr>
        <w:t xml:space="preserve">Esta errónea conclusión también estriba en que, para los efectos del art. 7-5 de la C.A.D.H., concretados en el art. 1º de la Ley 1786 de 2016, no es lo mismo </w:t>
      </w:r>
      <w:r w:rsidRPr="00DF767A">
        <w:rPr>
          <w:rFonts w:ascii="Bookman Old Style" w:hAnsi="Bookman Old Style"/>
          <w:i/>
          <w:sz w:val="27"/>
          <w:szCs w:val="27"/>
          <w:lang w:val="es-CO"/>
        </w:rPr>
        <w:t>juzgar</w:t>
      </w:r>
      <w:r w:rsidRPr="00DF767A">
        <w:rPr>
          <w:rFonts w:ascii="Bookman Old Style" w:hAnsi="Bookman Old Style"/>
          <w:sz w:val="27"/>
          <w:szCs w:val="27"/>
          <w:lang w:val="es-CO"/>
        </w:rPr>
        <w:t xml:space="preserve"> al procesado privado de la libertad que </w:t>
      </w:r>
      <w:r w:rsidR="00295618" w:rsidRPr="00DF767A">
        <w:rPr>
          <w:rFonts w:ascii="Bookman Old Style" w:hAnsi="Bookman Old Style"/>
          <w:sz w:val="27"/>
          <w:szCs w:val="27"/>
          <w:lang w:val="es-CO"/>
        </w:rPr>
        <w:t xml:space="preserve">entender </w:t>
      </w:r>
      <w:r w:rsidR="00295618" w:rsidRPr="00DF767A">
        <w:rPr>
          <w:rFonts w:ascii="Bookman Old Style" w:hAnsi="Bookman Old Style"/>
          <w:i/>
          <w:sz w:val="27"/>
          <w:szCs w:val="27"/>
          <w:lang w:val="es-CO"/>
        </w:rPr>
        <w:t>agotado</w:t>
      </w:r>
      <w:r w:rsidR="00295618" w:rsidRPr="00DF767A">
        <w:rPr>
          <w:rFonts w:ascii="Bookman Old Style" w:hAnsi="Bookman Old Style"/>
          <w:sz w:val="27"/>
          <w:szCs w:val="27"/>
          <w:lang w:val="es-CO"/>
        </w:rPr>
        <w:t xml:space="preserve"> el proceso penal como tal. Éste se prolonga más allá de las </w:t>
      </w:r>
      <w:r w:rsidR="00295618" w:rsidRPr="00DF767A">
        <w:rPr>
          <w:rFonts w:ascii="Bookman Old Style" w:hAnsi="Bookman Old Style"/>
          <w:sz w:val="27"/>
          <w:szCs w:val="27"/>
          <w:lang w:val="es-CO"/>
        </w:rPr>
        <w:lastRenderedPageBreak/>
        <w:t>instancias ordinarias</w:t>
      </w:r>
      <w:r w:rsidR="00035684" w:rsidRPr="00DF767A">
        <w:rPr>
          <w:rFonts w:ascii="Bookman Old Style" w:hAnsi="Bookman Old Style"/>
          <w:sz w:val="27"/>
          <w:szCs w:val="27"/>
          <w:lang w:val="es-CO"/>
        </w:rPr>
        <w:t xml:space="preserve"> </w:t>
      </w:r>
      <w:r w:rsidR="00035684" w:rsidRPr="00DF767A">
        <w:rPr>
          <w:rFonts w:ascii="Bookman Old Style" w:hAnsi="Bookman Old Style"/>
          <w:sz w:val="25"/>
          <w:szCs w:val="25"/>
          <w:lang w:val="es-CO"/>
        </w:rPr>
        <w:t>(arts. 205 y ss. de la Ley 600 de 2000 y arts. 180 y ss. de la Ley 906 de 2004)</w:t>
      </w:r>
      <w:r w:rsidR="00295618" w:rsidRPr="00DF767A">
        <w:rPr>
          <w:rFonts w:ascii="Bookman Old Style" w:hAnsi="Bookman Old Style"/>
          <w:sz w:val="27"/>
          <w:szCs w:val="27"/>
          <w:lang w:val="es-CO"/>
        </w:rPr>
        <w:t xml:space="preserve">; inclusive, en estricto sentido, comprende etapas posteriores a la ejecutoria de la sentencia, como lo es la de ejecución de la pena </w:t>
      </w:r>
      <w:r w:rsidR="00295618" w:rsidRPr="00DF767A">
        <w:rPr>
          <w:rFonts w:ascii="Bookman Old Style" w:hAnsi="Bookman Old Style"/>
          <w:sz w:val="25"/>
          <w:szCs w:val="25"/>
          <w:lang w:val="es-CO"/>
        </w:rPr>
        <w:t>(arts. 469 y ss. de la Ley 600 de 2000 y arts. 459 y ss. de la Ley 906 de 2004)</w:t>
      </w:r>
      <w:r w:rsidR="00295618" w:rsidRPr="00DF767A">
        <w:rPr>
          <w:rFonts w:ascii="Bookman Old Style" w:hAnsi="Bookman Old Style"/>
          <w:sz w:val="27"/>
          <w:szCs w:val="27"/>
          <w:lang w:val="es-CO"/>
        </w:rPr>
        <w:t xml:space="preserve">. </w:t>
      </w:r>
    </w:p>
    <w:p w:rsidR="00D76A85" w:rsidRPr="00DF767A" w:rsidRDefault="00D76A85" w:rsidP="004674BE">
      <w:pPr>
        <w:spacing w:line="336" w:lineRule="auto"/>
        <w:ind w:right="51" w:firstLine="851"/>
        <w:jc w:val="both"/>
        <w:rPr>
          <w:rFonts w:ascii="Bookman Old Style" w:hAnsi="Bookman Old Style"/>
          <w:sz w:val="27"/>
          <w:szCs w:val="27"/>
          <w:lang w:val="es-CO"/>
        </w:rPr>
      </w:pPr>
    </w:p>
    <w:p w:rsidR="006F470E" w:rsidRPr="00DF767A" w:rsidRDefault="002715C2" w:rsidP="004674BE">
      <w:pPr>
        <w:spacing w:line="336" w:lineRule="auto"/>
        <w:ind w:right="51" w:firstLine="851"/>
        <w:jc w:val="both"/>
        <w:rPr>
          <w:rFonts w:ascii="Bookman Old Style" w:hAnsi="Bookman Old Style"/>
          <w:sz w:val="27"/>
          <w:szCs w:val="27"/>
          <w:lang w:val="es-CO"/>
        </w:rPr>
      </w:pPr>
      <w:r w:rsidRPr="00DF767A">
        <w:rPr>
          <w:rFonts w:ascii="Bookman Old Style" w:hAnsi="Bookman Old Style"/>
          <w:sz w:val="27"/>
          <w:szCs w:val="27"/>
          <w:lang w:val="es-CO"/>
        </w:rPr>
        <w:t xml:space="preserve">Si el principal </w:t>
      </w:r>
      <w:r w:rsidRPr="00DF767A">
        <w:rPr>
          <w:rFonts w:ascii="Bookman Old Style" w:hAnsi="Bookman Old Style"/>
          <w:i/>
          <w:sz w:val="27"/>
          <w:szCs w:val="27"/>
          <w:lang w:val="es-CO"/>
        </w:rPr>
        <w:t>objeto</w:t>
      </w:r>
      <w:r w:rsidRPr="00DF767A">
        <w:rPr>
          <w:rFonts w:ascii="Bookman Old Style" w:hAnsi="Bookman Old Style"/>
          <w:sz w:val="27"/>
          <w:szCs w:val="27"/>
          <w:lang w:val="es-CO"/>
        </w:rPr>
        <w:t xml:space="preserve"> del proceso penal es la determinación de la responsabilidad penal del </w:t>
      </w:r>
      <w:r w:rsidRPr="00DF767A">
        <w:rPr>
          <w:rFonts w:ascii="Bookman Old Style" w:hAnsi="Bookman Old Style"/>
          <w:i/>
          <w:sz w:val="27"/>
          <w:szCs w:val="27"/>
          <w:lang w:val="es-CO"/>
        </w:rPr>
        <w:t xml:space="preserve">acusado, </w:t>
      </w:r>
      <w:r w:rsidRPr="00DF767A">
        <w:rPr>
          <w:rFonts w:ascii="Bookman Old Style" w:hAnsi="Bookman Old Style"/>
          <w:sz w:val="27"/>
          <w:szCs w:val="27"/>
          <w:lang w:val="es-CO"/>
        </w:rPr>
        <w:t>tal prop</w:t>
      </w:r>
      <w:r w:rsidR="0093531E" w:rsidRPr="00DF767A">
        <w:rPr>
          <w:rFonts w:ascii="Bookman Old Style" w:hAnsi="Bookman Old Style"/>
          <w:sz w:val="27"/>
          <w:szCs w:val="27"/>
          <w:lang w:val="es-CO"/>
        </w:rPr>
        <w:t xml:space="preserve">ósito se concreta en la decisión sobre tal aspecto, contenida en la sentencia. </w:t>
      </w:r>
      <w:r w:rsidR="0065514B" w:rsidRPr="00DF767A">
        <w:rPr>
          <w:rFonts w:ascii="Bookman Old Style" w:hAnsi="Bookman Old Style"/>
          <w:sz w:val="27"/>
          <w:szCs w:val="27"/>
          <w:lang w:val="es-CO"/>
        </w:rPr>
        <w:t xml:space="preserve">Cuestión diferente es que ese </w:t>
      </w:r>
      <w:r w:rsidR="0065514B" w:rsidRPr="00DF767A">
        <w:rPr>
          <w:rFonts w:ascii="Bookman Old Style" w:hAnsi="Bookman Old Style"/>
          <w:i/>
          <w:sz w:val="27"/>
          <w:szCs w:val="27"/>
          <w:lang w:val="es-CO"/>
        </w:rPr>
        <w:t>juicio</w:t>
      </w:r>
      <w:r w:rsidR="0065514B" w:rsidRPr="00DF767A">
        <w:rPr>
          <w:rFonts w:ascii="Bookman Old Style" w:hAnsi="Bookman Old Style"/>
          <w:sz w:val="27"/>
          <w:szCs w:val="27"/>
          <w:lang w:val="es-CO"/>
        </w:rPr>
        <w:t xml:space="preserve"> </w:t>
      </w:r>
      <w:r w:rsidR="00032351" w:rsidRPr="00DF767A">
        <w:rPr>
          <w:rFonts w:ascii="Bookman Old Style" w:hAnsi="Bookman Old Style"/>
          <w:sz w:val="25"/>
          <w:szCs w:val="25"/>
          <w:lang w:val="es-CO"/>
        </w:rPr>
        <w:t>-</w:t>
      </w:r>
      <w:r w:rsidR="0065514B" w:rsidRPr="00DF767A">
        <w:rPr>
          <w:rFonts w:ascii="Bookman Old Style" w:hAnsi="Bookman Old Style"/>
          <w:sz w:val="25"/>
          <w:szCs w:val="25"/>
          <w:lang w:val="es-CO"/>
        </w:rPr>
        <w:t>positivo o negativo</w:t>
      </w:r>
      <w:r w:rsidR="00032351" w:rsidRPr="00DF767A">
        <w:rPr>
          <w:rFonts w:ascii="Bookman Old Style" w:hAnsi="Bookman Old Style"/>
          <w:sz w:val="25"/>
          <w:szCs w:val="25"/>
          <w:lang w:val="es-CO"/>
        </w:rPr>
        <w:t>-</w:t>
      </w:r>
      <w:r w:rsidR="0065514B" w:rsidRPr="00DF767A">
        <w:rPr>
          <w:rFonts w:ascii="Bookman Old Style" w:hAnsi="Bookman Old Style"/>
          <w:sz w:val="27"/>
          <w:szCs w:val="27"/>
          <w:lang w:val="es-CO"/>
        </w:rPr>
        <w:t xml:space="preserve"> sobre la responsabilidad pueda ser sometido a controversia por la vía del derecho de impugnación. </w:t>
      </w:r>
      <w:r w:rsidR="00B62273" w:rsidRPr="00DF767A">
        <w:rPr>
          <w:rFonts w:ascii="Bookman Old Style" w:hAnsi="Bookman Old Style"/>
          <w:sz w:val="27"/>
          <w:szCs w:val="27"/>
          <w:lang w:val="es-CO"/>
        </w:rPr>
        <w:t>La indeterminación sancionable con la pérdida de la potestad estatal para investigar y juzgar con privación de la libertad es aquella donde el estado de acusación se prolonga indefinidamente sin que se defina la situación jur</w:t>
      </w:r>
      <w:r w:rsidR="00407ECF" w:rsidRPr="00DF767A">
        <w:rPr>
          <w:rFonts w:ascii="Bookman Old Style" w:hAnsi="Bookman Old Style"/>
          <w:sz w:val="27"/>
          <w:szCs w:val="27"/>
          <w:lang w:val="es-CO"/>
        </w:rPr>
        <w:t xml:space="preserve">ídica del procesado, en relación con su estado de culpabilidad o de inocencia. </w:t>
      </w:r>
      <w:r w:rsidR="006F470E" w:rsidRPr="00DF767A">
        <w:rPr>
          <w:rFonts w:ascii="Bookman Old Style" w:hAnsi="Bookman Old Style"/>
          <w:sz w:val="27"/>
          <w:szCs w:val="27"/>
          <w:lang w:val="es-CO"/>
        </w:rPr>
        <w:t xml:space="preserve">Como lo clarifica la Corte I.D.H., </w:t>
      </w:r>
      <w:r w:rsidR="00032351" w:rsidRPr="00DF767A">
        <w:rPr>
          <w:rFonts w:ascii="Bookman Old Style" w:hAnsi="Bookman Old Style"/>
          <w:sz w:val="27"/>
          <w:szCs w:val="27"/>
          <w:lang w:val="es-CO"/>
        </w:rPr>
        <w:t>“</w:t>
      </w:r>
      <w:r w:rsidR="006F470E" w:rsidRPr="00DF767A">
        <w:rPr>
          <w:rFonts w:ascii="Bookman Old Style" w:hAnsi="Bookman Old Style"/>
          <w:i/>
          <w:sz w:val="27"/>
          <w:szCs w:val="27"/>
          <w:lang w:val="es-CO"/>
        </w:rPr>
        <w:t xml:space="preserve">el principio del plazo razonable al que hacen referencia los arts. </w:t>
      </w:r>
      <w:r w:rsidR="00F22B64" w:rsidRPr="00DF767A">
        <w:rPr>
          <w:rFonts w:ascii="Bookman Old Style" w:hAnsi="Bookman Old Style"/>
          <w:b/>
          <w:i/>
          <w:sz w:val="27"/>
          <w:szCs w:val="27"/>
          <w:lang w:val="es-CO"/>
        </w:rPr>
        <w:t>7-</w:t>
      </w:r>
      <w:r w:rsidR="006F470E" w:rsidRPr="00DF767A">
        <w:rPr>
          <w:rFonts w:ascii="Bookman Old Style" w:hAnsi="Bookman Old Style"/>
          <w:b/>
          <w:i/>
          <w:sz w:val="27"/>
          <w:szCs w:val="27"/>
          <w:lang w:val="es-CO"/>
        </w:rPr>
        <w:t>5</w:t>
      </w:r>
      <w:r w:rsidR="00F22B64" w:rsidRPr="00DF767A">
        <w:rPr>
          <w:rFonts w:ascii="Bookman Old Style" w:hAnsi="Bookman Old Style"/>
          <w:i/>
          <w:sz w:val="27"/>
          <w:szCs w:val="27"/>
          <w:lang w:val="es-CO"/>
        </w:rPr>
        <w:t xml:space="preserve"> y 8-</w:t>
      </w:r>
      <w:r w:rsidR="006F470E" w:rsidRPr="00DF767A">
        <w:rPr>
          <w:rFonts w:ascii="Bookman Old Style" w:hAnsi="Bookman Old Style"/>
          <w:i/>
          <w:sz w:val="27"/>
          <w:szCs w:val="27"/>
          <w:lang w:val="es-CO"/>
        </w:rPr>
        <w:t>1</w:t>
      </w:r>
      <w:r w:rsidR="00F22B64" w:rsidRPr="00DF767A">
        <w:rPr>
          <w:rFonts w:ascii="Bookman Old Style" w:hAnsi="Bookman Old Style"/>
          <w:i/>
          <w:sz w:val="27"/>
          <w:szCs w:val="27"/>
          <w:lang w:val="es-CO"/>
        </w:rPr>
        <w:t xml:space="preserve"> de la Convención Americana tiene como finalidad impedir que los acusados permanezcan largo tiempo bajo acusación y asegurar que ésta se decida prontamente</w:t>
      </w:r>
      <w:r w:rsidR="00032351" w:rsidRPr="00DF767A">
        <w:rPr>
          <w:rFonts w:ascii="Bookman Old Style" w:hAnsi="Bookman Old Style"/>
          <w:sz w:val="27"/>
          <w:szCs w:val="27"/>
          <w:lang w:val="es-CO"/>
        </w:rPr>
        <w:t>”.</w:t>
      </w:r>
      <w:r w:rsidR="00F22B64" w:rsidRPr="00DF767A">
        <w:rPr>
          <w:rStyle w:val="Refdenotaalpie"/>
          <w:rFonts w:ascii="Bookman Old Style" w:hAnsi="Bookman Old Style"/>
          <w:sz w:val="27"/>
          <w:szCs w:val="27"/>
          <w:lang w:val="es-CO"/>
        </w:rPr>
        <w:footnoteReference w:id="15"/>
      </w:r>
    </w:p>
    <w:p w:rsidR="006F470E" w:rsidRPr="00DF767A" w:rsidRDefault="006F470E" w:rsidP="004674BE">
      <w:pPr>
        <w:spacing w:line="336" w:lineRule="auto"/>
        <w:ind w:right="51" w:firstLine="851"/>
        <w:jc w:val="both"/>
        <w:rPr>
          <w:rFonts w:ascii="Bookman Old Style" w:hAnsi="Bookman Old Style"/>
          <w:sz w:val="27"/>
          <w:szCs w:val="27"/>
          <w:lang w:val="es-CO"/>
        </w:rPr>
      </w:pPr>
    </w:p>
    <w:p w:rsidR="00F22B64" w:rsidRPr="00DF767A" w:rsidRDefault="006F470E" w:rsidP="004674BE">
      <w:pPr>
        <w:spacing w:line="336" w:lineRule="auto"/>
        <w:ind w:right="51" w:firstLine="851"/>
        <w:jc w:val="both"/>
        <w:rPr>
          <w:rFonts w:ascii="Bookman Old Style" w:hAnsi="Bookman Old Style"/>
          <w:sz w:val="27"/>
          <w:szCs w:val="27"/>
          <w:lang w:val="es-CO"/>
        </w:rPr>
      </w:pPr>
      <w:r w:rsidRPr="00DF767A">
        <w:rPr>
          <w:rFonts w:ascii="Bookman Old Style" w:hAnsi="Bookman Old Style"/>
          <w:sz w:val="27"/>
          <w:szCs w:val="27"/>
          <w:lang w:val="es-CO"/>
        </w:rPr>
        <w:t>Claro, ello no habilita a que el trámite de los recursos sea indefinido, más el establecimiento de</w:t>
      </w:r>
      <w:r w:rsidR="00F22B64" w:rsidRPr="00DF767A">
        <w:rPr>
          <w:rFonts w:ascii="Bookman Old Style" w:hAnsi="Bookman Old Style"/>
          <w:sz w:val="27"/>
          <w:szCs w:val="27"/>
          <w:lang w:val="es-CO"/>
        </w:rPr>
        <w:t xml:space="preserve"> plazos para la decisi</w:t>
      </w:r>
      <w:r w:rsidR="00E37513" w:rsidRPr="00DF767A">
        <w:rPr>
          <w:rFonts w:ascii="Bookman Old Style" w:hAnsi="Bookman Old Style"/>
          <w:sz w:val="27"/>
          <w:szCs w:val="27"/>
          <w:lang w:val="es-CO"/>
        </w:rPr>
        <w:t>ón de aqué</w:t>
      </w:r>
      <w:r w:rsidR="00F22B64" w:rsidRPr="00DF767A">
        <w:rPr>
          <w:rFonts w:ascii="Bookman Old Style" w:hAnsi="Bookman Old Style"/>
          <w:sz w:val="27"/>
          <w:szCs w:val="27"/>
          <w:lang w:val="es-CO"/>
        </w:rPr>
        <w:t xml:space="preserve">llos en instancias ordinarias y extraordinarias, así como </w:t>
      </w:r>
      <w:r w:rsidR="00A02DAA" w:rsidRPr="00DF767A">
        <w:rPr>
          <w:rFonts w:ascii="Bookman Old Style" w:hAnsi="Bookman Old Style"/>
          <w:sz w:val="27"/>
          <w:szCs w:val="27"/>
          <w:lang w:val="es-CO"/>
        </w:rPr>
        <w:t>la implementación</w:t>
      </w:r>
      <w:r w:rsidR="00F22B64" w:rsidRPr="00DF767A">
        <w:rPr>
          <w:rFonts w:ascii="Bookman Old Style" w:hAnsi="Bookman Old Style"/>
          <w:sz w:val="27"/>
          <w:szCs w:val="27"/>
          <w:lang w:val="es-CO"/>
        </w:rPr>
        <w:t xml:space="preserve"> de sanciones al </w:t>
      </w:r>
      <w:r w:rsidR="00F22B64" w:rsidRPr="00DF767A">
        <w:rPr>
          <w:rFonts w:ascii="Bookman Old Style" w:hAnsi="Bookman Old Style"/>
          <w:sz w:val="27"/>
          <w:szCs w:val="27"/>
          <w:lang w:val="es-CO"/>
        </w:rPr>
        <w:lastRenderedPageBreak/>
        <w:t xml:space="preserve">Estado por el desconocimiento del principio de celeridad, en tanto componente del </w:t>
      </w:r>
      <w:r w:rsidR="00F22B64" w:rsidRPr="00DF767A">
        <w:rPr>
          <w:rFonts w:ascii="Bookman Old Style" w:hAnsi="Bookman Old Style"/>
          <w:i/>
          <w:sz w:val="27"/>
          <w:szCs w:val="27"/>
          <w:lang w:val="es-CO"/>
        </w:rPr>
        <w:t>debido proceso</w:t>
      </w:r>
      <w:r w:rsidR="00F22B64" w:rsidRPr="00DF767A">
        <w:rPr>
          <w:rFonts w:ascii="Bookman Old Style" w:hAnsi="Bookman Old Style"/>
          <w:sz w:val="27"/>
          <w:szCs w:val="27"/>
          <w:lang w:val="es-CO"/>
        </w:rPr>
        <w:t xml:space="preserve">, </w:t>
      </w:r>
      <w:r w:rsidR="009177EE" w:rsidRPr="00DF767A">
        <w:rPr>
          <w:rFonts w:ascii="Bookman Old Style" w:hAnsi="Bookman Old Style"/>
          <w:sz w:val="27"/>
          <w:szCs w:val="27"/>
          <w:lang w:val="es-CO"/>
        </w:rPr>
        <w:t xml:space="preserve">no sólo </w:t>
      </w:r>
      <w:r w:rsidR="00F22B64" w:rsidRPr="00DF767A">
        <w:rPr>
          <w:rFonts w:ascii="Bookman Old Style" w:hAnsi="Bookman Old Style"/>
          <w:sz w:val="27"/>
          <w:szCs w:val="27"/>
          <w:lang w:val="es-CO"/>
        </w:rPr>
        <w:t>es cuestión que igualmente pertenece al ámbito de configuración legislativa</w:t>
      </w:r>
      <w:r w:rsidR="009177EE" w:rsidRPr="00DF767A">
        <w:rPr>
          <w:rFonts w:ascii="Bookman Old Style" w:hAnsi="Bookman Old Style"/>
          <w:sz w:val="27"/>
          <w:szCs w:val="27"/>
          <w:lang w:val="es-CO"/>
        </w:rPr>
        <w:t xml:space="preserve">, sino que se orienta por una teleología distinta, debido a que </w:t>
      </w:r>
      <w:r w:rsidR="0036034C" w:rsidRPr="00DF767A">
        <w:rPr>
          <w:rFonts w:ascii="Bookman Old Style" w:hAnsi="Bookman Old Style"/>
          <w:sz w:val="27"/>
          <w:szCs w:val="27"/>
          <w:lang w:val="es-CO"/>
        </w:rPr>
        <w:t xml:space="preserve">al existir sentencia de primera instancia, </w:t>
      </w:r>
      <w:r w:rsidR="009177EE" w:rsidRPr="00DF767A">
        <w:rPr>
          <w:rFonts w:ascii="Bookman Old Style" w:hAnsi="Bookman Old Style"/>
          <w:sz w:val="27"/>
          <w:szCs w:val="27"/>
          <w:lang w:val="es-CO"/>
        </w:rPr>
        <w:t xml:space="preserve">ya se cuenta con un pronunciamiento judicial sobre la responsabilidad. </w:t>
      </w:r>
    </w:p>
    <w:p w:rsidR="0022581B" w:rsidRPr="00DF767A" w:rsidRDefault="0022581B" w:rsidP="004674BE">
      <w:pPr>
        <w:spacing w:line="336" w:lineRule="auto"/>
        <w:ind w:right="51" w:firstLine="851"/>
        <w:jc w:val="both"/>
        <w:rPr>
          <w:rFonts w:ascii="Bookman Old Style" w:hAnsi="Bookman Old Style"/>
          <w:sz w:val="27"/>
          <w:szCs w:val="27"/>
          <w:lang w:val="es-CO"/>
        </w:rPr>
      </w:pPr>
    </w:p>
    <w:p w:rsidR="0036661D" w:rsidRPr="00DF767A" w:rsidRDefault="00835ED3" w:rsidP="004674BE">
      <w:pPr>
        <w:spacing w:line="336" w:lineRule="auto"/>
        <w:ind w:right="51" w:firstLine="851"/>
        <w:jc w:val="both"/>
        <w:rPr>
          <w:rFonts w:ascii="Bookman Old Style" w:hAnsi="Bookman Old Style"/>
          <w:sz w:val="27"/>
          <w:szCs w:val="27"/>
          <w:lang w:val="es-CO"/>
        </w:rPr>
      </w:pPr>
      <w:r w:rsidRPr="00DF767A">
        <w:rPr>
          <w:rFonts w:ascii="Bookman Old Style" w:hAnsi="Bookman Old Style"/>
          <w:sz w:val="27"/>
          <w:szCs w:val="27"/>
          <w:lang w:val="es-CO"/>
        </w:rPr>
        <w:t xml:space="preserve">Ahora bien, </w:t>
      </w:r>
      <w:r w:rsidR="00896611" w:rsidRPr="00DF767A">
        <w:rPr>
          <w:rFonts w:ascii="Bookman Old Style" w:hAnsi="Bookman Old Style"/>
          <w:sz w:val="27"/>
          <w:szCs w:val="27"/>
          <w:lang w:val="es-CO"/>
        </w:rPr>
        <w:t>ciertamente</w:t>
      </w:r>
      <w:r w:rsidR="00994D28" w:rsidRPr="00DF767A">
        <w:rPr>
          <w:rFonts w:ascii="Bookman Old Style" w:hAnsi="Bookman Old Style"/>
          <w:sz w:val="27"/>
          <w:szCs w:val="27"/>
          <w:lang w:val="es-CO"/>
        </w:rPr>
        <w:t>,</w:t>
      </w:r>
      <w:r w:rsidR="00896611" w:rsidRPr="00DF767A">
        <w:rPr>
          <w:rFonts w:ascii="Bookman Old Style" w:hAnsi="Bookman Old Style"/>
          <w:sz w:val="27"/>
          <w:szCs w:val="27"/>
          <w:lang w:val="es-CO"/>
        </w:rPr>
        <w:t xml:space="preserve"> en la exposici</w:t>
      </w:r>
      <w:r w:rsidR="0036034C" w:rsidRPr="00DF767A">
        <w:rPr>
          <w:rFonts w:ascii="Bookman Old Style" w:hAnsi="Bookman Old Style"/>
          <w:sz w:val="27"/>
          <w:szCs w:val="27"/>
          <w:lang w:val="es-CO"/>
        </w:rPr>
        <w:t>ón de motivos del Proyecto de L</w:t>
      </w:r>
      <w:r w:rsidR="00896611" w:rsidRPr="00DF767A">
        <w:rPr>
          <w:rFonts w:ascii="Bookman Old Style" w:hAnsi="Bookman Old Style"/>
          <w:sz w:val="27"/>
          <w:szCs w:val="27"/>
          <w:lang w:val="es-CO"/>
        </w:rPr>
        <w:t>ey Nº 115 de 2014 Senado</w:t>
      </w:r>
      <w:r w:rsidR="00FC187F" w:rsidRPr="00DF767A">
        <w:rPr>
          <w:rStyle w:val="Refdenotaalpie"/>
          <w:rFonts w:ascii="Bookman Old Style" w:hAnsi="Bookman Old Style"/>
          <w:sz w:val="27"/>
          <w:szCs w:val="27"/>
          <w:lang w:val="es-CO"/>
        </w:rPr>
        <w:footnoteReference w:id="16"/>
      </w:r>
      <w:r w:rsidR="00994D28" w:rsidRPr="00DF767A">
        <w:rPr>
          <w:rFonts w:ascii="Bookman Old Style" w:hAnsi="Bookman Old Style"/>
          <w:sz w:val="27"/>
          <w:szCs w:val="27"/>
          <w:lang w:val="es-CO"/>
        </w:rPr>
        <w:t xml:space="preserve">, que antecedió a la Ley 1760 de 2015 </w:t>
      </w:r>
      <w:r w:rsidR="00994D28" w:rsidRPr="00DF767A">
        <w:rPr>
          <w:rFonts w:ascii="Bookman Old Style" w:hAnsi="Bookman Old Style"/>
          <w:sz w:val="25"/>
          <w:szCs w:val="25"/>
          <w:lang w:val="es-CO"/>
        </w:rPr>
        <w:t xml:space="preserve">-por medio de la cual se fijó </w:t>
      </w:r>
      <w:r w:rsidR="00994D28" w:rsidRPr="00DF767A">
        <w:rPr>
          <w:rFonts w:ascii="Bookman Old Style" w:hAnsi="Bookman Old Style"/>
          <w:i/>
          <w:sz w:val="25"/>
          <w:szCs w:val="25"/>
          <w:lang w:val="es-CO"/>
        </w:rPr>
        <w:t>por primera vez</w:t>
      </w:r>
      <w:r w:rsidR="00994D28" w:rsidRPr="00DF767A">
        <w:rPr>
          <w:rFonts w:ascii="Bookman Old Style" w:hAnsi="Bookman Old Style"/>
          <w:sz w:val="25"/>
          <w:szCs w:val="25"/>
          <w:lang w:val="es-CO"/>
        </w:rPr>
        <w:t xml:space="preserve"> el término máximo de vigencia de la medida de aseguramiento- </w:t>
      </w:r>
      <w:r w:rsidR="00FC187F" w:rsidRPr="00DF767A">
        <w:rPr>
          <w:rFonts w:ascii="Bookman Old Style" w:hAnsi="Bookman Old Style"/>
          <w:sz w:val="27"/>
          <w:szCs w:val="27"/>
          <w:lang w:val="es-CO"/>
        </w:rPr>
        <w:t xml:space="preserve">se </w:t>
      </w:r>
      <w:r w:rsidR="00F92D63" w:rsidRPr="00DF767A">
        <w:rPr>
          <w:rFonts w:ascii="Bookman Old Style" w:hAnsi="Bookman Old Style"/>
          <w:sz w:val="27"/>
          <w:szCs w:val="27"/>
          <w:lang w:val="es-CO"/>
        </w:rPr>
        <w:t>presentó</w:t>
      </w:r>
      <w:r w:rsidR="00FC187F" w:rsidRPr="00DF767A">
        <w:rPr>
          <w:rFonts w:ascii="Bookman Old Style" w:hAnsi="Bookman Old Style"/>
          <w:sz w:val="27"/>
          <w:szCs w:val="27"/>
          <w:lang w:val="es-CO"/>
        </w:rPr>
        <w:t xml:space="preserve"> un esquema de la duración </w:t>
      </w:r>
      <w:r w:rsidR="00FC187F" w:rsidRPr="00DF767A">
        <w:rPr>
          <w:rFonts w:ascii="Bookman Old Style" w:hAnsi="Bookman Old Style"/>
          <w:i/>
          <w:sz w:val="25"/>
          <w:szCs w:val="25"/>
          <w:lang w:val="es-CO"/>
        </w:rPr>
        <w:t>-</w:t>
      </w:r>
      <w:r w:rsidR="00FC187F" w:rsidRPr="00DF767A">
        <w:rPr>
          <w:rFonts w:ascii="Bookman Old Style" w:hAnsi="Bookman Old Style"/>
          <w:sz w:val="25"/>
          <w:szCs w:val="25"/>
          <w:lang w:val="es-CO"/>
        </w:rPr>
        <w:t>contando los términos</w:t>
      </w:r>
      <w:r w:rsidR="00FC187F" w:rsidRPr="00DF767A">
        <w:rPr>
          <w:rFonts w:ascii="Bookman Old Style" w:hAnsi="Bookman Old Style"/>
          <w:i/>
          <w:sz w:val="25"/>
          <w:szCs w:val="25"/>
          <w:lang w:val="es-CO"/>
        </w:rPr>
        <w:t xml:space="preserve"> legalmente </w:t>
      </w:r>
      <w:r w:rsidR="00FC187F" w:rsidRPr="00DF767A">
        <w:rPr>
          <w:rFonts w:ascii="Bookman Old Style" w:hAnsi="Bookman Old Style"/>
          <w:sz w:val="25"/>
          <w:szCs w:val="25"/>
          <w:lang w:val="es-CO"/>
        </w:rPr>
        <w:t>establecidos</w:t>
      </w:r>
      <w:r w:rsidR="00FC187F" w:rsidRPr="00DF767A">
        <w:rPr>
          <w:rFonts w:ascii="Bookman Old Style" w:hAnsi="Bookman Old Style"/>
          <w:i/>
          <w:sz w:val="25"/>
          <w:szCs w:val="25"/>
          <w:lang w:val="es-CO"/>
        </w:rPr>
        <w:t xml:space="preserve">- </w:t>
      </w:r>
      <w:r w:rsidR="00FC187F" w:rsidRPr="00DF767A">
        <w:rPr>
          <w:rFonts w:ascii="Bookman Old Style" w:hAnsi="Bookman Old Style"/>
          <w:sz w:val="25"/>
          <w:szCs w:val="25"/>
          <w:lang w:val="es-CO"/>
        </w:rPr>
        <w:t>“</w:t>
      </w:r>
      <w:r w:rsidR="00FC187F" w:rsidRPr="00DF767A">
        <w:rPr>
          <w:rFonts w:ascii="Bookman Old Style" w:hAnsi="Bookman Old Style"/>
          <w:i/>
          <w:sz w:val="27"/>
          <w:szCs w:val="27"/>
          <w:lang w:val="es-CO"/>
        </w:rPr>
        <w:t>del proceso penal ordinario</w:t>
      </w:r>
      <w:r w:rsidR="00FC187F" w:rsidRPr="00DF767A">
        <w:rPr>
          <w:rFonts w:ascii="Bookman Old Style" w:hAnsi="Bookman Old Style"/>
          <w:sz w:val="27"/>
          <w:szCs w:val="27"/>
          <w:lang w:val="es-CO"/>
        </w:rPr>
        <w:t xml:space="preserve">”, </w:t>
      </w:r>
      <w:r w:rsidR="00A92467" w:rsidRPr="00DF767A">
        <w:rPr>
          <w:rFonts w:ascii="Bookman Old Style" w:hAnsi="Bookman Old Style"/>
          <w:sz w:val="27"/>
          <w:szCs w:val="27"/>
          <w:lang w:val="es-CO"/>
        </w:rPr>
        <w:t xml:space="preserve">que desde luego se </w:t>
      </w:r>
      <w:r w:rsidR="00F92D63" w:rsidRPr="00DF767A">
        <w:rPr>
          <w:rFonts w:ascii="Bookman Old Style" w:hAnsi="Bookman Old Style"/>
          <w:sz w:val="27"/>
          <w:szCs w:val="27"/>
          <w:lang w:val="es-CO"/>
        </w:rPr>
        <w:t>prolonga</w:t>
      </w:r>
      <w:r w:rsidR="00A92467" w:rsidRPr="00DF767A">
        <w:rPr>
          <w:rFonts w:ascii="Bookman Old Style" w:hAnsi="Bookman Old Style"/>
          <w:sz w:val="27"/>
          <w:szCs w:val="27"/>
          <w:lang w:val="es-CO"/>
        </w:rPr>
        <w:t xml:space="preserve"> hasta la sentencia de segunda instancia. Sin embargo, de ninguna manera se advierte la intención de extender hasta ese momento procesal la aplicación de la garantía, en cabeza del procesado detenido, de recobrar la libertad por vencimiento del término máximo de vigencia de la detención preventiva. </w:t>
      </w:r>
      <w:r w:rsidR="00FE3E91" w:rsidRPr="00DF767A">
        <w:rPr>
          <w:rFonts w:ascii="Bookman Old Style" w:hAnsi="Bookman Old Style"/>
          <w:sz w:val="27"/>
          <w:szCs w:val="27"/>
          <w:lang w:val="es-CO"/>
        </w:rPr>
        <w:t xml:space="preserve">Antes bien, </w:t>
      </w:r>
      <w:r w:rsidR="00F103F7" w:rsidRPr="00DF767A">
        <w:rPr>
          <w:rFonts w:ascii="Bookman Old Style" w:hAnsi="Bookman Old Style"/>
          <w:sz w:val="27"/>
          <w:szCs w:val="27"/>
          <w:lang w:val="es-CO"/>
        </w:rPr>
        <w:t xml:space="preserve">desde el mismo proyecto de ley se diferenció con claridad que uno es el plazo límite </w:t>
      </w:r>
      <w:r w:rsidR="00F103F7" w:rsidRPr="00DF767A">
        <w:rPr>
          <w:rFonts w:ascii="Bookman Old Style" w:hAnsi="Bookman Old Style"/>
          <w:i/>
          <w:sz w:val="27"/>
          <w:szCs w:val="27"/>
          <w:lang w:val="es-CO"/>
        </w:rPr>
        <w:t>genérico</w:t>
      </w:r>
      <w:r w:rsidR="00F103F7" w:rsidRPr="00DF767A">
        <w:rPr>
          <w:rFonts w:ascii="Bookman Old Style" w:hAnsi="Bookman Old Style"/>
          <w:sz w:val="27"/>
          <w:szCs w:val="27"/>
          <w:lang w:val="es-CO"/>
        </w:rPr>
        <w:t xml:space="preserve"> para cualquier medida de aseguramiento</w:t>
      </w:r>
      <w:r w:rsidR="00EE4280" w:rsidRPr="00DF767A">
        <w:rPr>
          <w:rFonts w:ascii="Bookman Old Style" w:hAnsi="Bookman Old Style"/>
          <w:sz w:val="27"/>
          <w:szCs w:val="27"/>
          <w:lang w:val="es-CO"/>
        </w:rPr>
        <w:t>,</w:t>
      </w:r>
      <w:r w:rsidR="00F103F7" w:rsidRPr="00DF767A">
        <w:rPr>
          <w:rFonts w:ascii="Bookman Old Style" w:hAnsi="Bookman Old Style"/>
          <w:sz w:val="27"/>
          <w:szCs w:val="27"/>
          <w:lang w:val="es-CO"/>
        </w:rPr>
        <w:t xml:space="preserve"> y otra la causal de libertad</w:t>
      </w:r>
      <w:r w:rsidR="00EE4280" w:rsidRPr="00DF767A">
        <w:rPr>
          <w:rFonts w:ascii="Bookman Old Style" w:hAnsi="Bookman Old Style"/>
          <w:sz w:val="27"/>
          <w:szCs w:val="27"/>
          <w:lang w:val="es-CO"/>
        </w:rPr>
        <w:t xml:space="preserve"> </w:t>
      </w:r>
      <w:r w:rsidR="00EE4280" w:rsidRPr="00DF767A">
        <w:rPr>
          <w:rFonts w:ascii="Bookman Old Style" w:hAnsi="Bookman Old Style"/>
          <w:i/>
          <w:sz w:val="27"/>
          <w:szCs w:val="27"/>
          <w:lang w:val="es-CO"/>
        </w:rPr>
        <w:t>específica</w:t>
      </w:r>
      <w:r w:rsidR="00F103F7" w:rsidRPr="00DF767A">
        <w:rPr>
          <w:rFonts w:ascii="Bookman Old Style" w:hAnsi="Bookman Old Style"/>
          <w:sz w:val="27"/>
          <w:szCs w:val="27"/>
          <w:lang w:val="es-CO"/>
        </w:rPr>
        <w:t xml:space="preserve"> por vencimiento de términos entre el inicio del juicio y la </w:t>
      </w:r>
      <w:r w:rsidR="00EE4280" w:rsidRPr="00DF767A">
        <w:rPr>
          <w:rFonts w:ascii="Bookman Old Style" w:hAnsi="Bookman Old Style"/>
          <w:sz w:val="27"/>
          <w:szCs w:val="27"/>
          <w:lang w:val="es-CO"/>
        </w:rPr>
        <w:t>audiencia de lectura de fall</w:t>
      </w:r>
      <w:r w:rsidR="0036661D" w:rsidRPr="00DF767A">
        <w:rPr>
          <w:rFonts w:ascii="Bookman Old Style" w:hAnsi="Bookman Old Style"/>
          <w:sz w:val="27"/>
          <w:szCs w:val="27"/>
          <w:lang w:val="es-CO"/>
        </w:rPr>
        <w:t xml:space="preserve">o. </w:t>
      </w:r>
    </w:p>
    <w:p w:rsidR="0036661D" w:rsidRPr="00DF767A" w:rsidRDefault="0036661D" w:rsidP="004674BE">
      <w:pPr>
        <w:spacing w:line="336" w:lineRule="auto"/>
        <w:ind w:right="51" w:firstLine="851"/>
        <w:jc w:val="both"/>
        <w:rPr>
          <w:rFonts w:ascii="Bookman Old Style" w:hAnsi="Bookman Old Style"/>
          <w:sz w:val="27"/>
          <w:szCs w:val="27"/>
          <w:lang w:val="es-CO"/>
        </w:rPr>
      </w:pPr>
    </w:p>
    <w:p w:rsidR="0036661D" w:rsidRPr="00DF767A" w:rsidRDefault="0036661D" w:rsidP="004674BE">
      <w:pPr>
        <w:spacing w:line="336" w:lineRule="auto"/>
        <w:ind w:right="51" w:firstLine="851"/>
        <w:jc w:val="both"/>
        <w:rPr>
          <w:rFonts w:ascii="Bookman Old Style" w:hAnsi="Bookman Old Style"/>
          <w:sz w:val="27"/>
          <w:szCs w:val="27"/>
          <w:lang w:val="es-CO"/>
        </w:rPr>
      </w:pPr>
      <w:r w:rsidRPr="00DF767A">
        <w:rPr>
          <w:rFonts w:ascii="Bookman Old Style" w:hAnsi="Bookman Old Style"/>
          <w:sz w:val="27"/>
          <w:szCs w:val="27"/>
          <w:lang w:val="es-CO"/>
        </w:rPr>
        <w:t>Y esa audiencia no pue</w:t>
      </w:r>
      <w:r w:rsidR="00F92D63" w:rsidRPr="00DF767A">
        <w:rPr>
          <w:rFonts w:ascii="Bookman Old Style" w:hAnsi="Bookman Old Style"/>
          <w:sz w:val="27"/>
          <w:szCs w:val="27"/>
          <w:lang w:val="es-CO"/>
        </w:rPr>
        <w:t>de ser otra</w:t>
      </w:r>
      <w:r w:rsidRPr="00DF767A">
        <w:rPr>
          <w:rFonts w:ascii="Bookman Old Style" w:hAnsi="Bookman Old Style"/>
          <w:sz w:val="27"/>
          <w:szCs w:val="27"/>
          <w:lang w:val="es-CO"/>
        </w:rPr>
        <w:t xml:space="preserve"> sino la prevista en el art. 446 de la Ley 906 de 2004, sin que sea dable </w:t>
      </w:r>
      <w:r w:rsidR="00F92D63" w:rsidRPr="00DF767A">
        <w:rPr>
          <w:rFonts w:ascii="Bookman Old Style" w:hAnsi="Bookman Old Style"/>
          <w:sz w:val="27"/>
          <w:szCs w:val="27"/>
          <w:lang w:val="es-CO"/>
        </w:rPr>
        <w:t>ampliar</w:t>
      </w:r>
      <w:r w:rsidRPr="00DF767A">
        <w:rPr>
          <w:rFonts w:ascii="Bookman Old Style" w:hAnsi="Bookman Old Style"/>
          <w:sz w:val="27"/>
          <w:szCs w:val="27"/>
          <w:lang w:val="es-CO"/>
        </w:rPr>
        <w:t xml:space="preserve"> el </w:t>
      </w:r>
      <w:r w:rsidRPr="00DF767A">
        <w:rPr>
          <w:rFonts w:ascii="Bookman Old Style" w:hAnsi="Bookman Old Style"/>
          <w:sz w:val="27"/>
          <w:szCs w:val="27"/>
          <w:lang w:val="es-CO"/>
        </w:rPr>
        <w:lastRenderedPageBreak/>
        <w:t xml:space="preserve">término hasta la segunda instancia, como lo entiende la Corte Constitucional, por el hecho de que el fallo de segundo grado también deba ser leído. </w:t>
      </w:r>
      <w:r w:rsidR="00D272EB" w:rsidRPr="00DF767A">
        <w:rPr>
          <w:rFonts w:ascii="Bookman Old Style" w:hAnsi="Bookman Old Style"/>
          <w:sz w:val="27"/>
          <w:szCs w:val="27"/>
          <w:lang w:val="es-CO"/>
        </w:rPr>
        <w:t xml:space="preserve">La lectura de las decisiones es </w:t>
      </w:r>
      <w:r w:rsidR="00B55380" w:rsidRPr="00DF767A">
        <w:rPr>
          <w:rFonts w:ascii="Bookman Old Style" w:hAnsi="Bookman Old Style"/>
          <w:sz w:val="27"/>
          <w:szCs w:val="27"/>
          <w:lang w:val="es-CO"/>
        </w:rPr>
        <w:t xml:space="preserve">una exigencia derivada de la concreción de los principios de oralidad y publicidad que rigen la actuación procesal, </w:t>
      </w:r>
      <w:r w:rsidR="007379E6" w:rsidRPr="00DF767A">
        <w:rPr>
          <w:rFonts w:ascii="Bookman Old Style" w:hAnsi="Bookman Old Style"/>
          <w:sz w:val="27"/>
          <w:szCs w:val="27"/>
          <w:lang w:val="es-CO"/>
        </w:rPr>
        <w:t xml:space="preserve">no un referente de identificación del momento de culminación del proceso. No sólo se leen las sentencias de primera y segunda instancia </w:t>
      </w:r>
      <w:r w:rsidR="007379E6" w:rsidRPr="00DF767A">
        <w:rPr>
          <w:rFonts w:ascii="Bookman Old Style" w:hAnsi="Bookman Old Style"/>
          <w:sz w:val="25"/>
          <w:szCs w:val="25"/>
          <w:lang w:val="es-CO"/>
        </w:rPr>
        <w:t>(arts. 447 y 179 inc. 3º de la Ley 906 de 2004, respectivamente)</w:t>
      </w:r>
      <w:r w:rsidR="007379E6" w:rsidRPr="00DF767A">
        <w:rPr>
          <w:rFonts w:ascii="Bookman Old Style" w:hAnsi="Bookman Old Style"/>
          <w:sz w:val="27"/>
          <w:szCs w:val="27"/>
          <w:lang w:val="es-CO"/>
        </w:rPr>
        <w:t xml:space="preserve">, sino también los autos dictados en segunda instancia </w:t>
      </w:r>
      <w:r w:rsidR="007379E6" w:rsidRPr="00DF767A">
        <w:rPr>
          <w:rFonts w:ascii="Bookman Old Style" w:hAnsi="Bookman Old Style"/>
          <w:sz w:val="25"/>
          <w:szCs w:val="25"/>
          <w:lang w:val="es-CO"/>
        </w:rPr>
        <w:t xml:space="preserve">(art. 178 inc. 2º </w:t>
      </w:r>
      <w:r w:rsidR="007379E6" w:rsidRPr="00DF767A">
        <w:rPr>
          <w:rFonts w:ascii="Bookman Old Style" w:hAnsi="Bookman Old Style"/>
          <w:i/>
          <w:sz w:val="25"/>
          <w:szCs w:val="25"/>
          <w:lang w:val="es-CO"/>
        </w:rPr>
        <w:t>ídem</w:t>
      </w:r>
      <w:r w:rsidR="007379E6" w:rsidRPr="00DF767A">
        <w:rPr>
          <w:rFonts w:ascii="Bookman Old Style" w:hAnsi="Bookman Old Style"/>
          <w:sz w:val="25"/>
          <w:szCs w:val="25"/>
          <w:lang w:val="es-CO"/>
        </w:rPr>
        <w:t>)</w:t>
      </w:r>
      <w:r w:rsidR="007379E6" w:rsidRPr="00DF767A">
        <w:rPr>
          <w:rFonts w:ascii="Bookman Old Style" w:hAnsi="Bookman Old Style"/>
          <w:sz w:val="27"/>
          <w:szCs w:val="27"/>
          <w:lang w:val="es-CO"/>
        </w:rPr>
        <w:t xml:space="preserve"> y los fallos de casación y revisión </w:t>
      </w:r>
      <w:r w:rsidR="007379E6" w:rsidRPr="00DF767A">
        <w:rPr>
          <w:rFonts w:ascii="Bookman Old Style" w:hAnsi="Bookman Old Style"/>
          <w:sz w:val="25"/>
          <w:szCs w:val="25"/>
          <w:lang w:val="es-CO"/>
        </w:rPr>
        <w:t xml:space="preserve">(arts. </w:t>
      </w:r>
      <w:r w:rsidR="0048044D" w:rsidRPr="00DF767A">
        <w:rPr>
          <w:rFonts w:ascii="Bookman Old Style" w:hAnsi="Bookman Old Style"/>
          <w:sz w:val="25"/>
          <w:szCs w:val="25"/>
          <w:lang w:val="es-CO"/>
        </w:rPr>
        <w:t xml:space="preserve">185 inc. 3º). </w:t>
      </w:r>
    </w:p>
    <w:p w:rsidR="000B76F6" w:rsidRPr="00DF767A" w:rsidRDefault="000B76F6" w:rsidP="004674BE">
      <w:pPr>
        <w:spacing w:line="336" w:lineRule="auto"/>
        <w:ind w:right="51" w:firstLine="851"/>
        <w:jc w:val="both"/>
        <w:rPr>
          <w:rFonts w:ascii="Bookman Old Style" w:hAnsi="Bookman Old Style"/>
          <w:sz w:val="27"/>
          <w:szCs w:val="27"/>
          <w:lang w:val="es-CO"/>
        </w:rPr>
      </w:pPr>
    </w:p>
    <w:p w:rsidR="007504C5" w:rsidRPr="00DF767A" w:rsidRDefault="00083634" w:rsidP="004674BE">
      <w:pPr>
        <w:spacing w:line="336" w:lineRule="auto"/>
        <w:ind w:right="51" w:firstLine="851"/>
        <w:jc w:val="both"/>
        <w:rPr>
          <w:rFonts w:ascii="Bookman Old Style" w:hAnsi="Bookman Old Style"/>
          <w:sz w:val="27"/>
          <w:szCs w:val="27"/>
        </w:rPr>
      </w:pPr>
      <w:r w:rsidRPr="00DF767A">
        <w:rPr>
          <w:rFonts w:ascii="Bookman Old Style" w:hAnsi="Bookman Old Style"/>
          <w:sz w:val="27"/>
          <w:szCs w:val="27"/>
          <w:lang w:val="es-CO"/>
        </w:rPr>
        <w:t xml:space="preserve">A tono con las razones hasta aquí expuestas existe claridad en torno a que la medida de aseguramiento, si no se supera el plazo máximo legal de vigencia, rige hasta la sentencia de primera instancia, bien porque se conceda la libertad o porque se ordene la privación de ésta, en virtud del fallo. De ahí que, desde la génesis misma de la causal de libertad </w:t>
      </w:r>
      <w:r w:rsidRPr="00DF767A">
        <w:rPr>
          <w:rFonts w:ascii="Bookman Old Style" w:hAnsi="Bookman Old Style"/>
          <w:i/>
          <w:sz w:val="25"/>
          <w:szCs w:val="25"/>
          <w:lang w:val="es-CO"/>
        </w:rPr>
        <w:t>-específica-</w:t>
      </w:r>
      <w:r w:rsidRPr="00DF767A">
        <w:rPr>
          <w:rFonts w:ascii="Bookman Old Style" w:hAnsi="Bookman Old Style"/>
          <w:i/>
          <w:sz w:val="27"/>
          <w:szCs w:val="27"/>
          <w:lang w:val="es-CO"/>
        </w:rPr>
        <w:t xml:space="preserve"> </w:t>
      </w:r>
      <w:r w:rsidRPr="00DF767A">
        <w:rPr>
          <w:rFonts w:ascii="Bookman Old Style" w:hAnsi="Bookman Old Style"/>
          <w:sz w:val="27"/>
          <w:szCs w:val="27"/>
          <w:lang w:val="es-CO"/>
        </w:rPr>
        <w:t xml:space="preserve">por vencimiento de términos del actual art. 317-6 de la Ley 906 de 2004 </w:t>
      </w:r>
      <w:r w:rsidR="00132FCA" w:rsidRPr="00DF767A">
        <w:rPr>
          <w:rFonts w:ascii="Bookman Old Style" w:hAnsi="Bookman Old Style"/>
          <w:sz w:val="27"/>
          <w:szCs w:val="27"/>
          <w:lang w:val="es-CO"/>
        </w:rPr>
        <w:t>se haya considerado, sin más, que “</w:t>
      </w:r>
      <w:r w:rsidR="0036661D" w:rsidRPr="00DF767A">
        <w:rPr>
          <w:rFonts w:ascii="Bookman Old Style" w:hAnsi="Bookman Old Style"/>
          <w:i/>
          <w:sz w:val="26"/>
          <w:szCs w:val="26"/>
        </w:rPr>
        <w:t xml:space="preserve">ante la inexistencia de regulación específica en torno al tiempo que ha de transcurrir entre la audiencia de juicio y la audiencia de </w:t>
      </w:r>
      <w:r w:rsidR="0036661D" w:rsidRPr="00DF767A">
        <w:rPr>
          <w:rFonts w:ascii="Bookman Old Style" w:hAnsi="Bookman Old Style"/>
          <w:b/>
          <w:i/>
          <w:sz w:val="26"/>
          <w:szCs w:val="26"/>
        </w:rPr>
        <w:t>lectura del fallo</w:t>
      </w:r>
      <w:r w:rsidR="0036661D" w:rsidRPr="00DF767A">
        <w:rPr>
          <w:rFonts w:ascii="Bookman Old Style" w:hAnsi="Bookman Old Style"/>
          <w:i/>
          <w:sz w:val="26"/>
          <w:szCs w:val="26"/>
        </w:rPr>
        <w:t xml:space="preserve">, lo cual también afecta el derecho a la </w:t>
      </w:r>
      <w:r w:rsidR="0036661D" w:rsidRPr="00DF767A">
        <w:rPr>
          <w:rFonts w:ascii="Bookman Old Style" w:hAnsi="Bookman Old Style"/>
          <w:i/>
          <w:sz w:val="27"/>
          <w:szCs w:val="27"/>
        </w:rPr>
        <w:t>libertad del acusado, se propone el térm</w:t>
      </w:r>
      <w:r w:rsidR="00132FCA" w:rsidRPr="00DF767A">
        <w:rPr>
          <w:rFonts w:ascii="Bookman Old Style" w:hAnsi="Bookman Old Style"/>
          <w:i/>
          <w:sz w:val="27"/>
          <w:szCs w:val="27"/>
        </w:rPr>
        <w:t>ino de 150 días para tal efecto</w:t>
      </w:r>
      <w:r w:rsidR="00132FCA" w:rsidRPr="00DF767A">
        <w:rPr>
          <w:rFonts w:ascii="Bookman Old Style" w:hAnsi="Bookman Old Style"/>
          <w:sz w:val="27"/>
          <w:szCs w:val="27"/>
        </w:rPr>
        <w:t>”. Si la intención del legislador hubiera sido la de extender el plazo hasta la lectura de fallo de segunda instancia, así lo habría precisado expresamente.</w:t>
      </w:r>
    </w:p>
    <w:p w:rsidR="007504C5" w:rsidRPr="00DF767A" w:rsidRDefault="007504C5" w:rsidP="004674BE">
      <w:pPr>
        <w:spacing w:line="336" w:lineRule="auto"/>
        <w:ind w:right="51" w:firstLine="851"/>
        <w:jc w:val="both"/>
        <w:rPr>
          <w:rFonts w:ascii="Bookman Old Style" w:hAnsi="Bookman Old Style"/>
          <w:sz w:val="27"/>
          <w:szCs w:val="27"/>
        </w:rPr>
      </w:pPr>
    </w:p>
    <w:p w:rsidR="0036661D" w:rsidRPr="00DF767A" w:rsidRDefault="00DF49B1" w:rsidP="004674BE">
      <w:pPr>
        <w:spacing w:line="336" w:lineRule="auto"/>
        <w:ind w:right="51" w:firstLine="851"/>
        <w:jc w:val="both"/>
        <w:rPr>
          <w:rFonts w:ascii="Bookman Old Style" w:hAnsi="Bookman Old Style"/>
          <w:sz w:val="27"/>
          <w:szCs w:val="27"/>
        </w:rPr>
      </w:pPr>
      <w:r w:rsidRPr="00DF767A">
        <w:rPr>
          <w:rFonts w:ascii="Bookman Old Style" w:hAnsi="Bookman Old Style"/>
          <w:sz w:val="27"/>
          <w:szCs w:val="27"/>
        </w:rPr>
        <w:lastRenderedPageBreak/>
        <w:t>Por último, y no por ello menos importante, la Corte llama la atenci</w:t>
      </w:r>
      <w:r w:rsidR="0018320C" w:rsidRPr="00DF767A">
        <w:rPr>
          <w:rFonts w:ascii="Bookman Old Style" w:hAnsi="Bookman Old Style"/>
          <w:sz w:val="27"/>
          <w:szCs w:val="27"/>
        </w:rPr>
        <w:t>ón en que, de acuerdo con</w:t>
      </w:r>
      <w:r w:rsidR="007504C5" w:rsidRPr="00DF767A">
        <w:rPr>
          <w:rFonts w:ascii="Bookman Old Style" w:hAnsi="Bookman Old Style"/>
          <w:sz w:val="27"/>
          <w:szCs w:val="27"/>
        </w:rPr>
        <w:t xml:space="preserve"> la realidad de la práctica jurisdiccional en lo penal, </w:t>
      </w:r>
      <w:r w:rsidR="0018320C" w:rsidRPr="00DF767A">
        <w:rPr>
          <w:rFonts w:ascii="Bookman Old Style" w:hAnsi="Bookman Old Style"/>
          <w:sz w:val="27"/>
          <w:szCs w:val="27"/>
        </w:rPr>
        <w:t xml:space="preserve">constatable por la Sala en el ejercicio de sus funciones constitucionales y legales, </w:t>
      </w:r>
      <w:r w:rsidR="0078261D" w:rsidRPr="00DF767A">
        <w:rPr>
          <w:rFonts w:ascii="Bookman Old Style" w:hAnsi="Bookman Old Style"/>
          <w:sz w:val="27"/>
          <w:szCs w:val="27"/>
        </w:rPr>
        <w:t xml:space="preserve">no es dable afirmar con confiabilidad que los procesos penales </w:t>
      </w:r>
      <w:r w:rsidR="0078261D" w:rsidRPr="00DF767A">
        <w:rPr>
          <w:rFonts w:ascii="Bookman Old Style" w:hAnsi="Bookman Old Style"/>
          <w:i/>
          <w:sz w:val="27"/>
          <w:szCs w:val="27"/>
        </w:rPr>
        <w:t>ordinarios</w:t>
      </w:r>
      <w:r w:rsidR="0078261D" w:rsidRPr="00DF767A">
        <w:rPr>
          <w:rFonts w:ascii="Bookman Old Style" w:hAnsi="Bookman Old Style"/>
          <w:sz w:val="27"/>
          <w:szCs w:val="27"/>
        </w:rPr>
        <w:t xml:space="preserve"> se tramiten en un año</w:t>
      </w:r>
      <w:r w:rsidR="00F92D63" w:rsidRPr="00DF767A">
        <w:rPr>
          <w:rFonts w:ascii="Bookman Old Style" w:hAnsi="Bookman Old Style"/>
          <w:sz w:val="27"/>
          <w:szCs w:val="27"/>
        </w:rPr>
        <w:t xml:space="preserve"> (ni en dos)</w:t>
      </w:r>
      <w:r w:rsidR="0078261D" w:rsidRPr="00DF767A">
        <w:rPr>
          <w:rFonts w:ascii="Bookman Old Style" w:hAnsi="Bookman Old Style"/>
          <w:sz w:val="27"/>
          <w:szCs w:val="27"/>
        </w:rPr>
        <w:t xml:space="preserve">, </w:t>
      </w:r>
      <w:r w:rsidR="0078261D" w:rsidRPr="00DF767A">
        <w:rPr>
          <w:rFonts w:ascii="Bookman Old Style" w:hAnsi="Bookman Old Style"/>
          <w:i/>
          <w:sz w:val="27"/>
          <w:szCs w:val="27"/>
        </w:rPr>
        <w:t>con emisión de sentencia de segunda instancia</w:t>
      </w:r>
      <w:r w:rsidR="0078261D" w:rsidRPr="00DF767A">
        <w:rPr>
          <w:rFonts w:ascii="Bookman Old Style" w:hAnsi="Bookman Old Style"/>
          <w:sz w:val="27"/>
          <w:szCs w:val="27"/>
        </w:rPr>
        <w:t xml:space="preserve">. </w:t>
      </w:r>
      <w:r w:rsidR="0011222F" w:rsidRPr="00DF767A">
        <w:rPr>
          <w:rFonts w:ascii="Bookman Old Style" w:hAnsi="Bookman Old Style"/>
          <w:sz w:val="27"/>
          <w:szCs w:val="27"/>
        </w:rPr>
        <w:t>La realidad está lejos de que se cumplan tales tiempos y, de cara a la fijación de los efectos legales de la vulneración del plazo razonable en procesos con persona privada de la libertad, ninguna solidez</w:t>
      </w:r>
      <w:r w:rsidR="0031416D" w:rsidRPr="00DF767A">
        <w:rPr>
          <w:rFonts w:ascii="Bookman Old Style" w:hAnsi="Bookman Old Style"/>
          <w:sz w:val="27"/>
          <w:szCs w:val="27"/>
        </w:rPr>
        <w:t xml:space="preserve"> </w:t>
      </w:r>
      <w:r w:rsidR="0011222F" w:rsidRPr="00DF767A">
        <w:rPr>
          <w:rFonts w:ascii="Bookman Old Style" w:hAnsi="Bookman Old Style"/>
          <w:sz w:val="27"/>
          <w:szCs w:val="27"/>
        </w:rPr>
        <w:t xml:space="preserve">tiene estimar la duración efectiva de los procesos, en las diferentes instancias, a partir de </w:t>
      </w:r>
      <w:r w:rsidR="00B85F45" w:rsidRPr="00DF767A">
        <w:rPr>
          <w:rFonts w:ascii="Bookman Old Style" w:hAnsi="Bookman Old Style"/>
          <w:sz w:val="27"/>
          <w:szCs w:val="27"/>
        </w:rPr>
        <w:t>“</w:t>
      </w:r>
      <w:r w:rsidR="0011222F" w:rsidRPr="00DF767A">
        <w:rPr>
          <w:rFonts w:ascii="Bookman Old Style" w:hAnsi="Bookman Old Style"/>
          <w:i/>
          <w:sz w:val="27"/>
          <w:szCs w:val="27"/>
        </w:rPr>
        <w:t>la consulta</w:t>
      </w:r>
      <w:r w:rsidR="0011222F" w:rsidRPr="00DF767A">
        <w:rPr>
          <w:rFonts w:ascii="Bookman Old Style" w:hAnsi="Bookman Old Style"/>
          <w:sz w:val="27"/>
          <w:szCs w:val="27"/>
        </w:rPr>
        <w:t xml:space="preserve"> </w:t>
      </w:r>
      <w:r w:rsidR="0011222F" w:rsidRPr="00DF767A">
        <w:rPr>
          <w:rFonts w:ascii="Bookman Old Style" w:hAnsi="Bookman Old Style"/>
          <w:i/>
          <w:sz w:val="27"/>
          <w:szCs w:val="27"/>
        </w:rPr>
        <w:t>con algunos jueces y fiscales, para comparar las reglas previstas en la ley con la práctica</w:t>
      </w:r>
      <w:r w:rsidR="0011222F" w:rsidRPr="00DF767A">
        <w:rPr>
          <w:rFonts w:ascii="Bookman Old Style" w:hAnsi="Bookman Old Style"/>
          <w:sz w:val="27"/>
          <w:szCs w:val="27"/>
        </w:rPr>
        <w:t>”</w:t>
      </w:r>
      <w:r w:rsidR="0011222F" w:rsidRPr="00DF767A">
        <w:rPr>
          <w:rStyle w:val="Refdenotaalpie"/>
          <w:rFonts w:ascii="Bookman Old Style" w:hAnsi="Bookman Old Style"/>
          <w:sz w:val="27"/>
          <w:szCs w:val="27"/>
        </w:rPr>
        <w:footnoteReference w:id="17"/>
      </w:r>
      <w:r w:rsidR="0031416D" w:rsidRPr="00DF767A">
        <w:rPr>
          <w:rFonts w:ascii="Bookman Old Style" w:hAnsi="Bookman Old Style"/>
          <w:sz w:val="27"/>
          <w:szCs w:val="27"/>
        </w:rPr>
        <w:t xml:space="preserve">, sin que se cuente con un soporte </w:t>
      </w:r>
      <w:r w:rsidR="00847E40" w:rsidRPr="00DF767A">
        <w:rPr>
          <w:rFonts w:ascii="Bookman Old Style" w:hAnsi="Bookman Old Style"/>
          <w:sz w:val="27"/>
          <w:szCs w:val="27"/>
        </w:rPr>
        <w:t xml:space="preserve">empírico y </w:t>
      </w:r>
      <w:r w:rsidR="0031416D" w:rsidRPr="00DF767A">
        <w:rPr>
          <w:rFonts w:ascii="Bookman Old Style" w:hAnsi="Bookman Old Style"/>
          <w:sz w:val="27"/>
          <w:szCs w:val="27"/>
        </w:rPr>
        <w:t xml:space="preserve">científico </w:t>
      </w:r>
      <w:r w:rsidR="00AC04BD" w:rsidRPr="00DF767A">
        <w:rPr>
          <w:rFonts w:ascii="Bookman Old Style" w:hAnsi="Bookman Old Style"/>
          <w:sz w:val="27"/>
          <w:szCs w:val="27"/>
        </w:rPr>
        <w:t xml:space="preserve">pertinente. </w:t>
      </w:r>
    </w:p>
    <w:p w:rsidR="00AC04BD" w:rsidRPr="00DF767A" w:rsidRDefault="00AC04BD" w:rsidP="004674BE">
      <w:pPr>
        <w:spacing w:line="336" w:lineRule="auto"/>
        <w:ind w:right="51" w:firstLine="851"/>
        <w:jc w:val="both"/>
        <w:rPr>
          <w:rFonts w:ascii="Bookman Old Style" w:hAnsi="Bookman Old Style"/>
          <w:sz w:val="27"/>
          <w:szCs w:val="27"/>
        </w:rPr>
      </w:pPr>
    </w:p>
    <w:p w:rsidR="00AC04BD" w:rsidRDefault="00AC04BD" w:rsidP="004674BE">
      <w:pPr>
        <w:spacing w:line="336" w:lineRule="auto"/>
        <w:ind w:right="51" w:firstLine="851"/>
        <w:jc w:val="both"/>
        <w:rPr>
          <w:rFonts w:ascii="Bookman Old Style" w:hAnsi="Bookman Old Style"/>
          <w:color w:val="002060"/>
          <w:sz w:val="27"/>
          <w:szCs w:val="27"/>
        </w:rPr>
      </w:pPr>
      <w:r w:rsidRPr="00DF767A">
        <w:rPr>
          <w:rFonts w:ascii="Bookman Old Style" w:hAnsi="Bookman Old Style"/>
          <w:sz w:val="27"/>
          <w:szCs w:val="27"/>
        </w:rPr>
        <w:t xml:space="preserve">En síntesis, </w:t>
      </w:r>
      <w:r w:rsidR="004C4B12" w:rsidRPr="00DF767A">
        <w:rPr>
          <w:rFonts w:ascii="Bookman Old Style" w:hAnsi="Bookman Old Style"/>
          <w:sz w:val="27"/>
          <w:szCs w:val="27"/>
        </w:rPr>
        <w:t xml:space="preserve">para establecer si opera la causal genérica de libertad por vencimiento del </w:t>
      </w:r>
      <w:r w:rsidR="00FB17F2">
        <w:rPr>
          <w:rFonts w:ascii="Bookman Old Style" w:hAnsi="Bookman Old Style"/>
          <w:sz w:val="27"/>
          <w:szCs w:val="27"/>
        </w:rPr>
        <w:t>plazo</w:t>
      </w:r>
      <w:r w:rsidR="004C4B12" w:rsidRPr="00DF767A">
        <w:rPr>
          <w:rFonts w:ascii="Bookman Old Style" w:hAnsi="Bookman Old Style"/>
          <w:sz w:val="27"/>
          <w:szCs w:val="27"/>
        </w:rPr>
        <w:t xml:space="preserve"> máximo de vigencia de la medida de aseguramiento </w:t>
      </w:r>
      <w:r w:rsidR="004C4B12" w:rsidRPr="00DF767A">
        <w:rPr>
          <w:rFonts w:ascii="Bookman Old Style" w:hAnsi="Bookman Old Style"/>
          <w:sz w:val="25"/>
          <w:szCs w:val="25"/>
        </w:rPr>
        <w:t xml:space="preserve">(art. 1º de la Ley 1786 de 2016), </w:t>
      </w:r>
      <w:r w:rsidR="004C4B12" w:rsidRPr="00DF767A">
        <w:rPr>
          <w:rFonts w:ascii="Bookman Old Style" w:hAnsi="Bookman Old Style"/>
          <w:sz w:val="27"/>
          <w:szCs w:val="27"/>
        </w:rPr>
        <w:t xml:space="preserve">habrá de verificarse si el término previsto en la norma ha transcurrido sin que se haya realizado la audiencia de lectura de fallo </w:t>
      </w:r>
      <w:r w:rsidR="004C4B12" w:rsidRPr="00DF767A">
        <w:rPr>
          <w:rFonts w:ascii="Bookman Old Style" w:hAnsi="Bookman Old Style"/>
          <w:i/>
          <w:sz w:val="27"/>
          <w:szCs w:val="27"/>
        </w:rPr>
        <w:t xml:space="preserve">de primera instancia, </w:t>
      </w:r>
      <w:r w:rsidR="004C4B12" w:rsidRPr="00DF767A">
        <w:rPr>
          <w:rFonts w:ascii="Bookman Old Style" w:hAnsi="Bookman Old Style"/>
          <w:sz w:val="27"/>
          <w:szCs w:val="27"/>
        </w:rPr>
        <w:t>en procesos regidos por la Ley 906 de 2004, y en asuntos gobernados por la Ley 600 de 2000</w:t>
      </w:r>
      <w:r w:rsidR="004C4B12" w:rsidRPr="00DF767A">
        <w:rPr>
          <w:rFonts w:ascii="Bookman Old Style" w:hAnsi="Bookman Old Style"/>
          <w:sz w:val="25"/>
          <w:szCs w:val="25"/>
        </w:rPr>
        <w:t xml:space="preserve"> </w:t>
      </w:r>
      <w:r w:rsidR="004C4B12" w:rsidRPr="00DF767A">
        <w:rPr>
          <w:rFonts w:ascii="Bookman Old Style" w:hAnsi="Bookman Old Style"/>
          <w:sz w:val="26"/>
          <w:szCs w:val="26"/>
        </w:rPr>
        <w:t xml:space="preserve">(cfr. num. 3.2 </w:t>
      </w:r>
      <w:r w:rsidR="004C4B12" w:rsidRPr="00DF767A">
        <w:rPr>
          <w:rFonts w:ascii="Bookman Old Style" w:hAnsi="Bookman Old Style"/>
          <w:i/>
          <w:sz w:val="26"/>
          <w:szCs w:val="26"/>
        </w:rPr>
        <w:t>infra</w:t>
      </w:r>
      <w:r w:rsidR="004C4B12" w:rsidRPr="00DF767A">
        <w:rPr>
          <w:rFonts w:ascii="Bookman Old Style" w:hAnsi="Bookman Old Style"/>
          <w:sz w:val="26"/>
          <w:szCs w:val="26"/>
        </w:rPr>
        <w:t>)</w:t>
      </w:r>
      <w:r w:rsidR="004C4B12" w:rsidRPr="00DF767A">
        <w:rPr>
          <w:rFonts w:ascii="Bookman Old Style" w:hAnsi="Bookman Old Style"/>
          <w:sz w:val="25"/>
          <w:szCs w:val="25"/>
        </w:rPr>
        <w:t xml:space="preserve">, </w:t>
      </w:r>
      <w:r w:rsidR="004C4B12" w:rsidRPr="00DF767A">
        <w:rPr>
          <w:rFonts w:ascii="Bookman Old Style" w:hAnsi="Bookman Old Style"/>
          <w:sz w:val="27"/>
          <w:szCs w:val="27"/>
        </w:rPr>
        <w:t>sin que se haya proferido sentencia de primer grado.</w:t>
      </w:r>
      <w:r w:rsidR="004C4B12" w:rsidRPr="00BE1074">
        <w:rPr>
          <w:rFonts w:ascii="Bookman Old Style" w:hAnsi="Bookman Old Style"/>
          <w:color w:val="002060"/>
          <w:sz w:val="27"/>
          <w:szCs w:val="27"/>
        </w:rPr>
        <w:t xml:space="preserve"> </w:t>
      </w:r>
    </w:p>
    <w:p w:rsidR="00917D14" w:rsidRPr="00917D14" w:rsidRDefault="00917D14" w:rsidP="004674BE">
      <w:pPr>
        <w:spacing w:line="336" w:lineRule="auto"/>
        <w:ind w:right="51" w:firstLine="851"/>
        <w:jc w:val="both"/>
        <w:rPr>
          <w:rFonts w:ascii="Bookman Old Style" w:hAnsi="Bookman Old Style"/>
          <w:sz w:val="27"/>
          <w:szCs w:val="27"/>
        </w:rPr>
      </w:pPr>
    </w:p>
    <w:p w:rsidR="00BA4E0E" w:rsidRDefault="00917D14" w:rsidP="004674BE">
      <w:pPr>
        <w:spacing w:line="336" w:lineRule="auto"/>
        <w:ind w:right="51" w:firstLine="851"/>
        <w:jc w:val="both"/>
        <w:rPr>
          <w:rFonts w:ascii="Bookman Old Style" w:hAnsi="Bookman Old Style"/>
          <w:sz w:val="27"/>
          <w:szCs w:val="27"/>
        </w:rPr>
      </w:pPr>
      <w:r>
        <w:rPr>
          <w:rFonts w:ascii="Bookman Old Style" w:hAnsi="Bookman Old Style"/>
          <w:sz w:val="27"/>
          <w:szCs w:val="27"/>
        </w:rPr>
        <w:lastRenderedPageBreak/>
        <w:t xml:space="preserve">Con estas apreciaciones, la Corte Suprema de ninguna manera cuestiona la razón </w:t>
      </w:r>
      <w:r w:rsidR="00D5403F">
        <w:rPr>
          <w:rFonts w:ascii="Bookman Old Style" w:hAnsi="Bookman Old Style"/>
          <w:sz w:val="27"/>
          <w:szCs w:val="27"/>
        </w:rPr>
        <w:t>que fundamenta la</w:t>
      </w:r>
      <w:r>
        <w:rPr>
          <w:rFonts w:ascii="Bookman Old Style" w:hAnsi="Bookman Old Style"/>
          <w:sz w:val="27"/>
          <w:szCs w:val="27"/>
        </w:rPr>
        <w:t xml:space="preserve"> decisión adoptada</w:t>
      </w:r>
      <w:r w:rsidR="00353903">
        <w:rPr>
          <w:rFonts w:ascii="Bookman Old Style" w:hAnsi="Bookman Old Style"/>
          <w:sz w:val="27"/>
          <w:szCs w:val="27"/>
        </w:rPr>
        <w:t xml:space="preserve"> en la sentencia C-221 de 2017, sino que, de cara a la </w:t>
      </w:r>
      <w:r w:rsidR="00353903" w:rsidRPr="00353903">
        <w:rPr>
          <w:rFonts w:ascii="Bookman Old Style" w:hAnsi="Bookman Old Style"/>
          <w:i/>
          <w:sz w:val="27"/>
          <w:szCs w:val="27"/>
        </w:rPr>
        <w:t>aplicación judicial</w:t>
      </w:r>
      <w:r w:rsidR="00353903">
        <w:rPr>
          <w:rFonts w:ascii="Bookman Old Style" w:hAnsi="Bookman Old Style"/>
          <w:sz w:val="27"/>
          <w:szCs w:val="27"/>
        </w:rPr>
        <w:t xml:space="preserve"> de la figura bajo estudio ha de efectuar las precisiones</w:t>
      </w:r>
      <w:r w:rsidR="006C3A97">
        <w:rPr>
          <w:rFonts w:ascii="Bookman Old Style" w:hAnsi="Bookman Old Style"/>
          <w:sz w:val="27"/>
          <w:szCs w:val="27"/>
        </w:rPr>
        <w:t xml:space="preserve"> conceptuales pertinentes, en relación con </w:t>
      </w:r>
      <w:r w:rsidR="00BA4E0E">
        <w:rPr>
          <w:rFonts w:ascii="Bookman Old Style" w:hAnsi="Bookman Old Style"/>
          <w:sz w:val="27"/>
          <w:szCs w:val="27"/>
        </w:rPr>
        <w:t xml:space="preserve">los </w:t>
      </w:r>
      <w:r w:rsidR="00BA4E0E" w:rsidRPr="008B652E">
        <w:rPr>
          <w:rFonts w:ascii="Bookman Old Style" w:hAnsi="Bookman Old Style"/>
          <w:i/>
          <w:sz w:val="27"/>
          <w:szCs w:val="27"/>
        </w:rPr>
        <w:t>distintos fundamentos</w:t>
      </w:r>
      <w:r w:rsidR="00BA4E0E">
        <w:rPr>
          <w:rFonts w:ascii="Bookman Old Style" w:hAnsi="Bookman Old Style"/>
          <w:sz w:val="27"/>
          <w:szCs w:val="27"/>
        </w:rPr>
        <w:t xml:space="preserve">, de orden procesal, que </w:t>
      </w:r>
      <w:r w:rsidR="0001212B">
        <w:rPr>
          <w:rFonts w:ascii="Bookman Old Style" w:hAnsi="Bookman Old Style"/>
          <w:sz w:val="27"/>
          <w:szCs w:val="27"/>
        </w:rPr>
        <w:t xml:space="preserve">justifican </w:t>
      </w:r>
      <w:r w:rsidR="00BA4E0E">
        <w:rPr>
          <w:rFonts w:ascii="Bookman Old Style" w:hAnsi="Bookman Old Style"/>
          <w:sz w:val="27"/>
          <w:szCs w:val="27"/>
        </w:rPr>
        <w:t>la restricción</w:t>
      </w:r>
      <w:r w:rsidR="00BA4E0E" w:rsidRPr="00BA4E0E">
        <w:rPr>
          <w:rFonts w:ascii="Bookman Old Style" w:hAnsi="Bookman Old Style"/>
          <w:i/>
          <w:sz w:val="27"/>
          <w:szCs w:val="27"/>
        </w:rPr>
        <w:t xml:space="preserve"> preventiva </w:t>
      </w:r>
      <w:r w:rsidR="00BA4E0E">
        <w:rPr>
          <w:rFonts w:ascii="Bookman Old Style" w:hAnsi="Bookman Old Style"/>
          <w:sz w:val="27"/>
          <w:szCs w:val="27"/>
        </w:rPr>
        <w:t>de la liber</w:t>
      </w:r>
      <w:r w:rsidR="0001212B">
        <w:rPr>
          <w:rFonts w:ascii="Bookman Old Style" w:hAnsi="Bookman Old Style"/>
          <w:sz w:val="27"/>
          <w:szCs w:val="27"/>
        </w:rPr>
        <w:t xml:space="preserve">tad personal en el proceso penal. </w:t>
      </w:r>
    </w:p>
    <w:p w:rsidR="009E0A38" w:rsidRDefault="009E0A38" w:rsidP="004674BE">
      <w:pPr>
        <w:spacing w:line="336" w:lineRule="auto"/>
        <w:ind w:right="51" w:firstLine="851"/>
        <w:jc w:val="both"/>
        <w:rPr>
          <w:rFonts w:ascii="Bookman Old Style" w:hAnsi="Bookman Old Style"/>
          <w:sz w:val="27"/>
          <w:szCs w:val="27"/>
        </w:rPr>
      </w:pPr>
    </w:p>
    <w:p w:rsidR="009E0A38" w:rsidRDefault="009E0A38" w:rsidP="004674BE">
      <w:pPr>
        <w:spacing w:line="336" w:lineRule="auto"/>
        <w:ind w:right="51" w:firstLine="851"/>
        <w:jc w:val="both"/>
        <w:rPr>
          <w:rFonts w:ascii="Bookman Old Style" w:hAnsi="Bookman Old Style"/>
          <w:sz w:val="27"/>
          <w:szCs w:val="27"/>
        </w:rPr>
      </w:pPr>
      <w:r>
        <w:rPr>
          <w:rFonts w:ascii="Bookman Old Style" w:hAnsi="Bookman Old Style"/>
          <w:sz w:val="27"/>
          <w:szCs w:val="27"/>
        </w:rPr>
        <w:t xml:space="preserve">La Corte Constitucional juzgó la exequibilidad de la norma </w:t>
      </w:r>
      <w:r w:rsidRPr="009E0A38">
        <w:rPr>
          <w:rFonts w:ascii="Bookman Old Style" w:hAnsi="Bookman Old Style"/>
          <w:sz w:val="25"/>
          <w:szCs w:val="25"/>
        </w:rPr>
        <w:t>(art. 307 de la Ley 906 de 2004, modificado por el art. 1º de la Ley 1786 de 2016)</w:t>
      </w:r>
      <w:r>
        <w:rPr>
          <w:rFonts w:ascii="Bookman Old Style" w:hAnsi="Bookman Old Style"/>
          <w:sz w:val="25"/>
          <w:szCs w:val="25"/>
        </w:rPr>
        <w:t xml:space="preserve"> </w:t>
      </w:r>
      <w:r>
        <w:rPr>
          <w:rFonts w:ascii="Bookman Old Style" w:hAnsi="Bookman Old Style"/>
          <w:sz w:val="27"/>
          <w:szCs w:val="27"/>
        </w:rPr>
        <w:t xml:space="preserve">afirmando, </w:t>
      </w:r>
      <w:r w:rsidRPr="004C36D1">
        <w:rPr>
          <w:rFonts w:ascii="Bookman Old Style" w:hAnsi="Bookman Old Style"/>
          <w:i/>
          <w:sz w:val="27"/>
          <w:szCs w:val="27"/>
        </w:rPr>
        <w:t>en esencia</w:t>
      </w:r>
      <w:r>
        <w:rPr>
          <w:rFonts w:ascii="Bookman Old Style" w:hAnsi="Bookman Old Style"/>
          <w:sz w:val="27"/>
          <w:szCs w:val="27"/>
        </w:rPr>
        <w:t xml:space="preserve">, que el legislador estableció un parámetro límite para contabilizar el término de duración de </w:t>
      </w:r>
      <w:r w:rsidR="004C36D1">
        <w:rPr>
          <w:rFonts w:ascii="Bookman Old Style" w:hAnsi="Bookman Old Style"/>
          <w:sz w:val="27"/>
          <w:szCs w:val="27"/>
        </w:rPr>
        <w:t xml:space="preserve">la </w:t>
      </w:r>
      <w:r>
        <w:rPr>
          <w:rFonts w:ascii="Bookman Old Style" w:hAnsi="Bookman Old Style"/>
          <w:sz w:val="27"/>
          <w:szCs w:val="27"/>
        </w:rPr>
        <w:t xml:space="preserve">detención preventiva </w:t>
      </w:r>
      <w:r w:rsidRPr="009E0A38">
        <w:rPr>
          <w:rFonts w:ascii="Bookman Old Style" w:hAnsi="Bookman Old Style"/>
          <w:sz w:val="25"/>
          <w:szCs w:val="25"/>
        </w:rPr>
        <w:t>(de uno o dos años)</w:t>
      </w:r>
      <w:r w:rsidR="00EB5DF1">
        <w:rPr>
          <w:rFonts w:ascii="Bookman Old Style" w:hAnsi="Bookman Old Style"/>
          <w:sz w:val="25"/>
          <w:szCs w:val="25"/>
        </w:rPr>
        <w:t xml:space="preserve">. </w:t>
      </w:r>
      <w:r w:rsidR="00EB5DF1">
        <w:rPr>
          <w:rFonts w:ascii="Bookman Old Style" w:hAnsi="Bookman Old Style"/>
          <w:sz w:val="27"/>
          <w:szCs w:val="27"/>
        </w:rPr>
        <w:t xml:space="preserve">La Sala, armonizando la vigencia de la jurisprudencia penal especializada con la norma en mención, </w:t>
      </w:r>
      <w:r w:rsidR="004C36D1">
        <w:rPr>
          <w:rFonts w:ascii="Bookman Old Style" w:hAnsi="Bookman Old Style"/>
          <w:sz w:val="27"/>
          <w:szCs w:val="27"/>
        </w:rPr>
        <w:t xml:space="preserve">pone de presente que la referida medida de aseguramiento sólo opera hasta la sentencia de primera instancia o la lectura de ésta si la decisión es condenatoria, sin que la tangencial conceptualización realizada por la jurisprudencia constitucional </w:t>
      </w:r>
      <w:r w:rsidR="00041CDD">
        <w:rPr>
          <w:rFonts w:ascii="Bookman Old Style" w:hAnsi="Bookman Old Style"/>
          <w:sz w:val="27"/>
          <w:szCs w:val="27"/>
        </w:rPr>
        <w:t xml:space="preserve">modifique tal entendimiento ni, mucho menos, </w:t>
      </w:r>
      <w:r w:rsidR="005447E1">
        <w:rPr>
          <w:rFonts w:ascii="Bookman Old Style" w:hAnsi="Bookman Old Style"/>
          <w:sz w:val="27"/>
          <w:szCs w:val="27"/>
        </w:rPr>
        <w:t>permita afirmar que</w:t>
      </w:r>
      <w:r w:rsidR="00D921CF">
        <w:rPr>
          <w:rFonts w:ascii="Bookman Old Style" w:hAnsi="Bookman Old Style"/>
          <w:sz w:val="27"/>
          <w:szCs w:val="27"/>
        </w:rPr>
        <w:t>, si se supera</w:t>
      </w:r>
      <w:r w:rsidR="005447E1">
        <w:rPr>
          <w:rFonts w:ascii="Bookman Old Style" w:hAnsi="Bookman Old Style"/>
          <w:sz w:val="27"/>
          <w:szCs w:val="27"/>
        </w:rPr>
        <w:t xml:space="preserve"> el plazo máximo de vigencia temporal de la detención preventiva sin que se haya dictado </w:t>
      </w:r>
      <w:r w:rsidR="005447E1" w:rsidRPr="005447E1">
        <w:rPr>
          <w:rFonts w:ascii="Bookman Old Style" w:hAnsi="Bookman Old Style"/>
          <w:sz w:val="25"/>
          <w:szCs w:val="25"/>
        </w:rPr>
        <w:t>-o leído-</w:t>
      </w:r>
      <w:r w:rsidR="005447E1">
        <w:rPr>
          <w:rFonts w:ascii="Bookman Old Style" w:hAnsi="Bookman Old Style"/>
          <w:sz w:val="27"/>
          <w:szCs w:val="27"/>
        </w:rPr>
        <w:t xml:space="preserve"> sentencia de segunda instancia, hay lugar a la libertad del detenido. </w:t>
      </w:r>
    </w:p>
    <w:p w:rsidR="003C00F7" w:rsidRDefault="003C00F7" w:rsidP="00727F29">
      <w:pPr>
        <w:spacing w:line="336" w:lineRule="auto"/>
        <w:ind w:firstLine="851"/>
        <w:jc w:val="both"/>
        <w:rPr>
          <w:rFonts w:ascii="Bookman Old Style" w:hAnsi="Bookman Old Style"/>
          <w:sz w:val="27"/>
          <w:szCs w:val="27"/>
        </w:rPr>
      </w:pPr>
    </w:p>
    <w:p w:rsidR="0011239F" w:rsidRDefault="0011239F" w:rsidP="00727F29">
      <w:pPr>
        <w:spacing w:line="336" w:lineRule="auto"/>
        <w:ind w:firstLine="851"/>
        <w:jc w:val="both"/>
        <w:rPr>
          <w:rFonts w:ascii="Bookman Old Style" w:hAnsi="Bookman Old Style"/>
          <w:sz w:val="27"/>
          <w:szCs w:val="27"/>
        </w:rPr>
      </w:pPr>
    </w:p>
    <w:p w:rsidR="0011239F" w:rsidRPr="00FA3473" w:rsidRDefault="0011239F" w:rsidP="00727F29">
      <w:pPr>
        <w:spacing w:line="336" w:lineRule="auto"/>
        <w:ind w:firstLine="851"/>
        <w:jc w:val="both"/>
        <w:rPr>
          <w:rFonts w:ascii="Bookman Old Style" w:hAnsi="Bookman Old Style"/>
          <w:sz w:val="27"/>
          <w:szCs w:val="27"/>
        </w:rPr>
      </w:pPr>
    </w:p>
    <w:p w:rsidR="003C00F7" w:rsidRPr="00FA3473" w:rsidRDefault="00275D49" w:rsidP="00727F29">
      <w:pPr>
        <w:spacing w:line="336" w:lineRule="auto"/>
        <w:ind w:firstLine="851"/>
        <w:jc w:val="both"/>
        <w:rPr>
          <w:rFonts w:ascii="Bookman Old Style" w:hAnsi="Bookman Old Style"/>
          <w:b/>
          <w:sz w:val="25"/>
          <w:szCs w:val="25"/>
        </w:rPr>
      </w:pPr>
      <w:r w:rsidRPr="00FA3473">
        <w:rPr>
          <w:rFonts w:ascii="Bookman Old Style" w:hAnsi="Bookman Old Style"/>
          <w:b/>
          <w:sz w:val="25"/>
          <w:szCs w:val="25"/>
        </w:rPr>
        <w:lastRenderedPageBreak/>
        <w:t>3.1</w:t>
      </w:r>
      <w:r w:rsidR="003C00F7" w:rsidRPr="00FA3473">
        <w:rPr>
          <w:rFonts w:ascii="Bookman Old Style" w:hAnsi="Bookman Old Style"/>
          <w:b/>
          <w:sz w:val="25"/>
          <w:szCs w:val="25"/>
        </w:rPr>
        <w:t>.4 Distinción entre la sustitución de la detención preventiva por sobrepasar el término máximo de vigencia de ésta con las causales de libertad por vencimiento de términos</w:t>
      </w:r>
      <w:r w:rsidR="00E132A5" w:rsidRPr="00FA3473">
        <w:rPr>
          <w:rFonts w:ascii="Bookman Old Style" w:hAnsi="Bookman Old Style"/>
          <w:b/>
          <w:sz w:val="25"/>
          <w:szCs w:val="25"/>
        </w:rPr>
        <w:t>, según la fase procesal</w:t>
      </w:r>
    </w:p>
    <w:p w:rsidR="00752C99" w:rsidRPr="00FA3473" w:rsidRDefault="00752C99" w:rsidP="00727F29">
      <w:pPr>
        <w:spacing w:line="336" w:lineRule="auto"/>
        <w:ind w:firstLine="705"/>
        <w:jc w:val="both"/>
        <w:rPr>
          <w:rFonts w:ascii="Bookman Old Style" w:hAnsi="Bookman Old Style"/>
          <w:sz w:val="27"/>
          <w:szCs w:val="27"/>
        </w:rPr>
      </w:pPr>
      <w:r w:rsidRPr="00FA3473">
        <w:rPr>
          <w:rFonts w:ascii="Bookman Old Style" w:hAnsi="Bookman Old Style"/>
          <w:sz w:val="27"/>
          <w:szCs w:val="27"/>
        </w:rPr>
        <w:t xml:space="preserve"> </w:t>
      </w:r>
    </w:p>
    <w:p w:rsidR="00C7125B" w:rsidRDefault="00C7125B" w:rsidP="00727F29">
      <w:pPr>
        <w:spacing w:line="336" w:lineRule="auto"/>
        <w:jc w:val="both"/>
        <w:rPr>
          <w:rFonts w:ascii="Bookman Old Style" w:hAnsi="Bookman Old Style"/>
          <w:sz w:val="27"/>
          <w:szCs w:val="27"/>
          <w:lang w:val="es-CO"/>
        </w:rPr>
      </w:pPr>
      <w:r w:rsidRPr="00FA3473">
        <w:rPr>
          <w:rFonts w:ascii="Bookman Old Style" w:hAnsi="Bookman Old Style"/>
          <w:sz w:val="27"/>
          <w:szCs w:val="27"/>
          <w:lang w:val="es-CO"/>
        </w:rPr>
        <w:tab/>
        <w:t xml:space="preserve">De cara a la resolución de la solicitud elevada por el defensor conviene precisar que el vencimiento del plazo razonable -genérico- para investigar y juzgar al procesado privado de la libertad, previsto en el art. 1º de la Ley 1786 de 2016, trae una consecuencia jurídica </w:t>
      </w:r>
      <w:r w:rsidRPr="00FA3473">
        <w:rPr>
          <w:rFonts w:ascii="Bookman Old Style" w:hAnsi="Bookman Old Style"/>
          <w:i/>
          <w:sz w:val="27"/>
          <w:szCs w:val="27"/>
          <w:lang w:val="es-CO"/>
        </w:rPr>
        <w:t xml:space="preserve">diversa </w:t>
      </w:r>
      <w:r w:rsidRPr="00FA3473">
        <w:rPr>
          <w:rFonts w:ascii="Bookman Old Style" w:hAnsi="Bookman Old Style"/>
          <w:sz w:val="27"/>
          <w:szCs w:val="27"/>
          <w:lang w:val="es-CO"/>
        </w:rPr>
        <w:t>al restablecimiento inmediato de la libertad por vencimiento de los términos -específicos- previstos en el art. 317 de la Ley 906 de 2004, aplicables según el cumpl</w:t>
      </w:r>
      <w:r w:rsidR="00004C72">
        <w:rPr>
          <w:rFonts w:ascii="Bookman Old Style" w:hAnsi="Bookman Old Style"/>
          <w:sz w:val="27"/>
          <w:szCs w:val="27"/>
          <w:lang w:val="es-CO"/>
        </w:rPr>
        <w:t>imiento de etapas procesales (imputación</w:t>
      </w:r>
      <w:r w:rsidRPr="00FA3473">
        <w:rPr>
          <w:rFonts w:ascii="Bookman Old Style" w:hAnsi="Bookman Old Style"/>
          <w:sz w:val="27"/>
          <w:szCs w:val="27"/>
          <w:lang w:val="es-CO"/>
        </w:rPr>
        <w:t xml:space="preserve">, presentación del escrito de acusación, instalación del juicio y emisión del sentido del fallo). </w:t>
      </w:r>
    </w:p>
    <w:p w:rsidR="00414806" w:rsidRPr="00FA3473" w:rsidRDefault="00414806" w:rsidP="00727F29">
      <w:pPr>
        <w:spacing w:line="336" w:lineRule="auto"/>
        <w:jc w:val="both"/>
        <w:rPr>
          <w:rFonts w:ascii="Bookman Old Style" w:hAnsi="Bookman Old Style"/>
          <w:sz w:val="27"/>
          <w:szCs w:val="27"/>
          <w:lang w:val="es-CO"/>
        </w:rPr>
      </w:pPr>
    </w:p>
    <w:p w:rsidR="00C7125B" w:rsidRPr="00FA3473" w:rsidRDefault="00C7125B" w:rsidP="00727F29">
      <w:pPr>
        <w:spacing w:line="336" w:lineRule="auto"/>
        <w:jc w:val="both"/>
        <w:rPr>
          <w:rFonts w:ascii="Bookman Old Style" w:hAnsi="Bookman Old Style"/>
          <w:sz w:val="27"/>
          <w:szCs w:val="27"/>
          <w:lang w:val="es-CO"/>
        </w:rPr>
      </w:pPr>
      <w:r w:rsidRPr="00FA3473">
        <w:rPr>
          <w:rFonts w:ascii="Bookman Old Style" w:hAnsi="Bookman Old Style"/>
          <w:sz w:val="27"/>
          <w:szCs w:val="27"/>
          <w:lang w:val="es-CO"/>
        </w:rPr>
        <w:tab/>
      </w:r>
      <w:r w:rsidR="000B0674" w:rsidRPr="00FA3473">
        <w:rPr>
          <w:rFonts w:ascii="Bookman Old Style" w:hAnsi="Bookman Old Style"/>
          <w:sz w:val="27"/>
          <w:szCs w:val="27"/>
          <w:lang w:val="es-CO"/>
        </w:rPr>
        <w:t xml:space="preserve">A diferencia de estas últimas causales de libertad por vencimiento de términos, el parágrafo del art. 307 </w:t>
      </w:r>
      <w:r w:rsidR="000B0674" w:rsidRPr="00FA3473">
        <w:rPr>
          <w:rFonts w:ascii="Bookman Old Style" w:hAnsi="Bookman Old Style"/>
          <w:i/>
          <w:sz w:val="27"/>
          <w:szCs w:val="27"/>
          <w:lang w:val="es-CO"/>
        </w:rPr>
        <w:t xml:space="preserve">ídem, </w:t>
      </w:r>
      <w:r w:rsidR="000B0674" w:rsidRPr="00FA3473">
        <w:rPr>
          <w:rFonts w:ascii="Bookman Old Style" w:hAnsi="Bookman Old Style"/>
          <w:sz w:val="27"/>
          <w:szCs w:val="27"/>
          <w:lang w:val="es-CO"/>
        </w:rPr>
        <w:t>adicionado por el art. 1º de</w:t>
      </w:r>
      <w:r w:rsidR="003963E9" w:rsidRPr="00FA3473">
        <w:rPr>
          <w:rFonts w:ascii="Bookman Old Style" w:hAnsi="Bookman Old Style"/>
          <w:sz w:val="27"/>
          <w:szCs w:val="27"/>
          <w:lang w:val="es-CO"/>
        </w:rPr>
        <w:t xml:space="preserve"> la Ley 1786 de 2016, establece, por una parte, </w:t>
      </w:r>
      <w:r w:rsidR="000B0674" w:rsidRPr="00FA3473">
        <w:rPr>
          <w:rFonts w:ascii="Bookman Old Style" w:hAnsi="Bookman Old Style"/>
          <w:sz w:val="27"/>
          <w:szCs w:val="27"/>
          <w:lang w:val="es-CO"/>
        </w:rPr>
        <w:t>que al margen de la etapa</w:t>
      </w:r>
      <w:r w:rsidR="006A3FA5" w:rsidRPr="00FA3473">
        <w:rPr>
          <w:rFonts w:ascii="Bookman Old Style" w:hAnsi="Bookman Old Style"/>
          <w:sz w:val="27"/>
          <w:szCs w:val="27"/>
          <w:lang w:val="es-CO"/>
        </w:rPr>
        <w:t xml:space="preserve"> en que se encuentre el proceso,</w:t>
      </w:r>
      <w:r w:rsidR="000B0674" w:rsidRPr="00FA3473">
        <w:rPr>
          <w:rFonts w:ascii="Bookman Old Style" w:hAnsi="Bookman Old Style"/>
          <w:sz w:val="27"/>
          <w:szCs w:val="27"/>
          <w:lang w:val="es-CO"/>
        </w:rPr>
        <w:t xml:space="preserve"> </w:t>
      </w:r>
      <w:r w:rsidR="000B0674" w:rsidRPr="00FA3473">
        <w:rPr>
          <w:rFonts w:ascii="Bookman Old Style" w:hAnsi="Bookman Old Style"/>
          <w:i/>
          <w:sz w:val="27"/>
          <w:szCs w:val="27"/>
          <w:lang w:val="es-CO"/>
        </w:rPr>
        <w:t>en ningún caso</w:t>
      </w:r>
      <w:r w:rsidR="000B0674" w:rsidRPr="00FA3473">
        <w:rPr>
          <w:rFonts w:ascii="Bookman Old Style" w:hAnsi="Bookman Old Style"/>
          <w:sz w:val="27"/>
          <w:szCs w:val="27"/>
          <w:lang w:val="es-CO"/>
        </w:rPr>
        <w:t xml:space="preserve"> una medida de aseguramiento privativa de la libertad puede durar más de un año</w:t>
      </w:r>
      <w:r w:rsidR="000B0674" w:rsidRPr="00FA3473">
        <w:rPr>
          <w:rFonts w:ascii="Bookman Old Style" w:hAnsi="Bookman Old Style"/>
          <w:sz w:val="24"/>
          <w:szCs w:val="24"/>
          <w:lang w:val="es-CO"/>
        </w:rPr>
        <w:t xml:space="preserve"> -prorrogable por otro más en determin</w:t>
      </w:r>
      <w:r w:rsidR="003963E9" w:rsidRPr="00FA3473">
        <w:rPr>
          <w:rFonts w:ascii="Bookman Old Style" w:hAnsi="Bookman Old Style"/>
          <w:sz w:val="24"/>
          <w:szCs w:val="24"/>
          <w:lang w:val="es-CO"/>
        </w:rPr>
        <w:t>adas circunstancias-</w:t>
      </w:r>
      <w:r w:rsidR="006A3FA5" w:rsidRPr="00FA3473">
        <w:rPr>
          <w:rFonts w:ascii="Bookman Old Style" w:hAnsi="Bookman Old Style"/>
          <w:sz w:val="24"/>
          <w:szCs w:val="24"/>
          <w:lang w:val="es-CO"/>
        </w:rPr>
        <w:t xml:space="preserve">; </w:t>
      </w:r>
      <w:r w:rsidR="006A3FA5" w:rsidRPr="00FA3473">
        <w:rPr>
          <w:rFonts w:ascii="Bookman Old Style" w:hAnsi="Bookman Old Style"/>
          <w:sz w:val="27"/>
          <w:szCs w:val="27"/>
          <w:lang w:val="es-CO"/>
        </w:rPr>
        <w:t xml:space="preserve">por otra, que si se supera ese plazo la detención preventiva pierde vigencia y ha de ser </w:t>
      </w:r>
      <w:r w:rsidR="006A3FA5" w:rsidRPr="00FA3473">
        <w:rPr>
          <w:rFonts w:ascii="Bookman Old Style" w:hAnsi="Bookman Old Style"/>
          <w:i/>
          <w:sz w:val="27"/>
          <w:szCs w:val="27"/>
          <w:lang w:val="es-CO"/>
        </w:rPr>
        <w:t>sustituida</w:t>
      </w:r>
      <w:r w:rsidR="006A3FA5" w:rsidRPr="00FA3473">
        <w:rPr>
          <w:rFonts w:ascii="Bookman Old Style" w:hAnsi="Bookman Old Style"/>
          <w:sz w:val="27"/>
          <w:szCs w:val="27"/>
          <w:lang w:val="es-CO"/>
        </w:rPr>
        <w:t xml:space="preserve"> por una medida de aseguramiento no privativa de la libertad</w:t>
      </w:r>
      <w:r w:rsidR="00C86DB4">
        <w:rPr>
          <w:rFonts w:ascii="Bookman Old Style" w:hAnsi="Bookman Old Style"/>
          <w:sz w:val="27"/>
          <w:szCs w:val="27"/>
          <w:lang w:val="es-CO"/>
        </w:rPr>
        <w:t xml:space="preserve"> (art. 307 lit. b de la Le</w:t>
      </w:r>
      <w:r w:rsidR="0086518F" w:rsidRPr="00FA3473">
        <w:rPr>
          <w:rFonts w:ascii="Bookman Old Style" w:hAnsi="Bookman Old Style"/>
          <w:sz w:val="27"/>
          <w:szCs w:val="27"/>
          <w:lang w:val="es-CO"/>
        </w:rPr>
        <w:t xml:space="preserve">y 906 de 2004). </w:t>
      </w:r>
      <w:r w:rsidR="006A3FA5" w:rsidRPr="00FA3473">
        <w:rPr>
          <w:rFonts w:ascii="Bookman Old Style" w:hAnsi="Bookman Old Style"/>
          <w:sz w:val="27"/>
          <w:szCs w:val="27"/>
          <w:lang w:val="es-CO"/>
        </w:rPr>
        <w:t xml:space="preserve"> </w:t>
      </w:r>
    </w:p>
    <w:p w:rsidR="00C7125B" w:rsidRPr="00FA3473" w:rsidRDefault="00C7125B" w:rsidP="00727F29">
      <w:pPr>
        <w:spacing w:line="336" w:lineRule="auto"/>
        <w:jc w:val="both"/>
        <w:rPr>
          <w:rFonts w:ascii="Bookman Old Style" w:hAnsi="Bookman Old Style"/>
          <w:sz w:val="27"/>
          <w:szCs w:val="27"/>
          <w:lang w:val="es-CO"/>
        </w:rPr>
      </w:pPr>
    </w:p>
    <w:p w:rsidR="00C7125B" w:rsidRPr="00FA3473" w:rsidRDefault="00E00FF3" w:rsidP="00727F29">
      <w:pPr>
        <w:spacing w:line="336" w:lineRule="auto"/>
        <w:jc w:val="both"/>
        <w:rPr>
          <w:rFonts w:ascii="Bookman Old Style" w:hAnsi="Bookman Old Style"/>
          <w:sz w:val="27"/>
          <w:szCs w:val="27"/>
          <w:lang w:val="es-CO"/>
        </w:rPr>
      </w:pPr>
      <w:r w:rsidRPr="00FA3473">
        <w:rPr>
          <w:rFonts w:ascii="Bookman Old Style" w:hAnsi="Bookman Old Style"/>
          <w:sz w:val="27"/>
          <w:szCs w:val="27"/>
          <w:lang w:val="es-CO"/>
        </w:rPr>
        <w:tab/>
        <w:t xml:space="preserve">Tal </w:t>
      </w:r>
      <w:r w:rsidRPr="00FA3473">
        <w:rPr>
          <w:rFonts w:ascii="Bookman Old Style" w:hAnsi="Bookman Old Style"/>
          <w:i/>
          <w:sz w:val="27"/>
          <w:szCs w:val="27"/>
          <w:lang w:val="es-CO"/>
        </w:rPr>
        <w:t>distinción</w:t>
      </w:r>
      <w:r w:rsidRPr="00FA3473">
        <w:rPr>
          <w:rFonts w:ascii="Bookman Old Style" w:hAnsi="Bookman Old Style"/>
          <w:sz w:val="27"/>
          <w:szCs w:val="27"/>
          <w:lang w:val="es-CO"/>
        </w:rPr>
        <w:t xml:space="preserve"> entre </w:t>
      </w:r>
      <w:r w:rsidR="008745CB" w:rsidRPr="00FA3473">
        <w:rPr>
          <w:rFonts w:ascii="Bookman Old Style" w:hAnsi="Bookman Old Style"/>
          <w:sz w:val="27"/>
          <w:szCs w:val="27"/>
          <w:lang w:val="es-CO"/>
        </w:rPr>
        <w:t xml:space="preserve">el término genérico máximo de vigencia de la detención preventiva y las causales específicas </w:t>
      </w:r>
      <w:r w:rsidR="008745CB" w:rsidRPr="00FA3473">
        <w:rPr>
          <w:rFonts w:ascii="Bookman Old Style" w:hAnsi="Bookman Old Style"/>
          <w:sz w:val="27"/>
          <w:szCs w:val="27"/>
          <w:lang w:val="es-CO"/>
        </w:rPr>
        <w:lastRenderedPageBreak/>
        <w:t>de libertad por vencimiento de términos</w:t>
      </w:r>
      <w:r w:rsidR="00E25FD0" w:rsidRPr="00FA3473">
        <w:rPr>
          <w:rFonts w:ascii="Bookman Old Style" w:hAnsi="Bookman Old Style"/>
          <w:sz w:val="27"/>
          <w:szCs w:val="27"/>
          <w:lang w:val="es-CO"/>
        </w:rPr>
        <w:t xml:space="preserve"> es reconocida por la jurisprudencia constitucional (sent. C-221 de 2017), de la siguiente manera: </w:t>
      </w:r>
    </w:p>
    <w:p w:rsidR="00E3443C" w:rsidRPr="00FA3473" w:rsidRDefault="00E3443C" w:rsidP="008C63B9">
      <w:pPr>
        <w:spacing w:line="360" w:lineRule="auto"/>
        <w:ind w:firstLine="705"/>
        <w:jc w:val="both"/>
        <w:rPr>
          <w:rFonts w:ascii="Bookman Old Style" w:hAnsi="Bookman Old Style"/>
          <w:sz w:val="27"/>
          <w:szCs w:val="27"/>
          <w:lang w:val="es-CO"/>
        </w:rPr>
      </w:pPr>
    </w:p>
    <w:p w:rsidR="006F5CE7" w:rsidRDefault="00E25FD0" w:rsidP="00E25FD0">
      <w:pPr>
        <w:autoSpaceDE w:val="0"/>
        <w:autoSpaceDN w:val="0"/>
        <w:adjustRightInd w:val="0"/>
        <w:ind w:left="851" w:right="616"/>
        <w:jc w:val="both"/>
        <w:rPr>
          <w:rFonts w:ascii="Bookman Old Style" w:hAnsi="Bookman Old Style"/>
          <w:sz w:val="24"/>
          <w:szCs w:val="24"/>
          <w:lang w:eastAsia="es-CO"/>
        </w:rPr>
      </w:pPr>
      <w:r w:rsidRPr="00FA3473">
        <w:rPr>
          <w:rFonts w:ascii="Bookman Old Style" w:hAnsi="Bookman Old Style"/>
          <w:sz w:val="24"/>
          <w:szCs w:val="24"/>
          <w:lang w:eastAsia="es-CO"/>
        </w:rPr>
        <w:t xml:space="preserve">17. En este orden de ideas, desde la reforma introducida mediante la Ley 1786 de 2016, se encuentran vigentes, para la generalidad de los casos, dos normas trascendentales para el debido proceso sin dilaciones injustificadas, que completan y consolidan un modelo para la garantía del derecho a plazos razonables de detención preventiva. Así, </w:t>
      </w:r>
      <w:r w:rsidRPr="00FA3473">
        <w:rPr>
          <w:rFonts w:ascii="Bookman Old Style" w:hAnsi="Bookman Old Style"/>
          <w:b/>
          <w:i/>
          <w:sz w:val="24"/>
          <w:szCs w:val="24"/>
          <w:lang w:eastAsia="es-CO"/>
        </w:rPr>
        <w:t>ninguna persona puede ser objeto de una medida de aseguramiento privativa de la libertad superior a (1) año dentro del proceso penal</w:t>
      </w:r>
      <w:r w:rsidRPr="00FA3473">
        <w:rPr>
          <w:rFonts w:ascii="Bookman Old Style" w:hAnsi="Bookman Old Style"/>
          <w:sz w:val="24"/>
          <w:szCs w:val="24"/>
          <w:lang w:eastAsia="es-CO"/>
        </w:rPr>
        <w:t xml:space="preserve"> y, de igual forma, si transcurridos 150 días luego</w:t>
      </w:r>
      <w:r w:rsidR="00206A26">
        <w:rPr>
          <w:rFonts w:ascii="Bookman Old Style" w:hAnsi="Bookman Old Style"/>
          <w:sz w:val="24"/>
          <w:szCs w:val="24"/>
          <w:lang w:eastAsia="es-CO"/>
        </w:rPr>
        <w:t xml:space="preserve"> de</w:t>
      </w:r>
      <w:r w:rsidRPr="00FA3473">
        <w:rPr>
          <w:rFonts w:ascii="Bookman Old Style" w:hAnsi="Bookman Old Style"/>
          <w:sz w:val="24"/>
          <w:szCs w:val="24"/>
          <w:lang w:eastAsia="es-CO"/>
        </w:rPr>
        <w:t xml:space="preserve"> iniciada la audiencia de juicio oral, no ha sido celebrada la audiencia de lectura de fallo, el acusado debe ser puesto en libertad.</w:t>
      </w:r>
    </w:p>
    <w:p w:rsidR="00E25FD0" w:rsidRPr="00FA3473" w:rsidRDefault="00E25FD0" w:rsidP="00E25FD0">
      <w:pPr>
        <w:autoSpaceDE w:val="0"/>
        <w:autoSpaceDN w:val="0"/>
        <w:adjustRightInd w:val="0"/>
        <w:ind w:left="851" w:right="616"/>
        <w:jc w:val="both"/>
        <w:rPr>
          <w:rFonts w:ascii="Bookman Old Style" w:hAnsi="Bookman Old Style"/>
          <w:sz w:val="24"/>
          <w:szCs w:val="24"/>
          <w:lang w:eastAsia="es-CO"/>
        </w:rPr>
      </w:pPr>
      <w:r w:rsidRPr="00FA3473">
        <w:rPr>
          <w:rFonts w:ascii="Bookman Old Style" w:hAnsi="Bookman Old Style"/>
          <w:sz w:val="24"/>
          <w:szCs w:val="24"/>
          <w:lang w:eastAsia="es-CO"/>
        </w:rPr>
        <w:t xml:space="preserve"> </w:t>
      </w:r>
    </w:p>
    <w:p w:rsidR="00E25FD0" w:rsidRPr="00FA3473" w:rsidRDefault="00E25FD0" w:rsidP="00E25FD0">
      <w:pPr>
        <w:autoSpaceDE w:val="0"/>
        <w:autoSpaceDN w:val="0"/>
        <w:adjustRightInd w:val="0"/>
        <w:ind w:left="851" w:right="616"/>
        <w:jc w:val="both"/>
        <w:rPr>
          <w:rFonts w:ascii="Bookman Old Style" w:hAnsi="Bookman Old Style"/>
          <w:sz w:val="24"/>
          <w:szCs w:val="24"/>
          <w:lang w:eastAsia="es-CO"/>
        </w:rPr>
      </w:pPr>
      <w:r w:rsidRPr="00FA3473">
        <w:rPr>
          <w:rFonts w:ascii="Bookman Old Style" w:hAnsi="Bookman Old Style"/>
          <w:sz w:val="24"/>
          <w:szCs w:val="24"/>
          <w:lang w:eastAsia="es-CO"/>
        </w:rPr>
        <w:t xml:space="preserve">18. De esta manera, en el decurso de la actuación, para la mayoría de los casos, la libertad del procesado en detención preventiva se cumplirá de inmediato (i) si transcurridos 60 días a partir de la fecha de imputación no se ha presentado el escrito de acusación o solicitado la preclusión; (ii) si pasados 120 días contados a partir de la fecha de presentación del escrito de acusación, no se ha dado inicio a la audiencia de juicio y (iii) si vencidos 150 días contados a partir de la fecha de inicio de la audiencia de juicio oral, no se ha celebrado la audiencia de lectura de fallo o su equivalente. Pero, </w:t>
      </w:r>
      <w:r w:rsidRPr="00FA3473">
        <w:rPr>
          <w:rFonts w:ascii="Bookman Old Style" w:hAnsi="Bookman Old Style"/>
          <w:b/>
          <w:i/>
          <w:sz w:val="24"/>
          <w:szCs w:val="24"/>
          <w:lang w:eastAsia="es-CO"/>
        </w:rPr>
        <w:t>además de lo anterior, (iv) ninguna medida de aseguramiento privativa de la libertad podrá exceder de un (1) año, plazo luego del cual el detenido deberá ser puesto en libertad</w:t>
      </w:r>
      <w:r w:rsidRPr="00FA3473">
        <w:rPr>
          <w:rFonts w:ascii="Bookman Old Style" w:hAnsi="Bookman Old Style"/>
          <w:sz w:val="24"/>
          <w:szCs w:val="24"/>
          <w:lang w:eastAsia="es-CO"/>
        </w:rPr>
        <w:t xml:space="preserve">.    </w:t>
      </w:r>
    </w:p>
    <w:p w:rsidR="00E25FD0" w:rsidRPr="00FA3473" w:rsidRDefault="00E25FD0" w:rsidP="00E25FD0">
      <w:pPr>
        <w:autoSpaceDE w:val="0"/>
        <w:autoSpaceDN w:val="0"/>
        <w:adjustRightInd w:val="0"/>
        <w:ind w:left="851" w:right="616"/>
        <w:jc w:val="both"/>
        <w:rPr>
          <w:rFonts w:ascii="Bookman Old Style" w:hAnsi="Bookman Old Style"/>
          <w:sz w:val="24"/>
          <w:szCs w:val="24"/>
          <w:lang w:eastAsia="es-CO"/>
        </w:rPr>
      </w:pPr>
    </w:p>
    <w:p w:rsidR="00D81AF2" w:rsidRPr="00FA3473" w:rsidRDefault="00E25FD0" w:rsidP="00E25FD0">
      <w:pPr>
        <w:pStyle w:val="NormalWeb"/>
        <w:shd w:val="clear" w:color="auto" w:fill="FFFFFF"/>
        <w:spacing w:before="0" w:beforeAutospacing="0" w:after="0" w:afterAutospacing="0"/>
        <w:ind w:left="851" w:right="616"/>
        <w:jc w:val="both"/>
        <w:rPr>
          <w:rFonts w:ascii="Bookman Old Style" w:hAnsi="Bookman Old Style"/>
          <w:lang w:val="es-ES"/>
        </w:rPr>
      </w:pPr>
      <w:r w:rsidRPr="00FA3473">
        <w:rPr>
          <w:rFonts w:ascii="Bookman Old Style" w:hAnsi="Bookman Old Style"/>
        </w:rPr>
        <w:t xml:space="preserve">Con las primeras tres reglas, cada una de las fases principales del proceso penal quedan ahora gobernadas por el régimen de afirmación de la libertad, de modo que la privación del derecho del procesado mientras aquellas se adelantan encuentra estrictos límites temporales en el uso racional y proporcionado de la detención cautelar. Por su parte, </w:t>
      </w:r>
      <w:r w:rsidRPr="00FA3473">
        <w:rPr>
          <w:rFonts w:ascii="Bookman Old Style" w:hAnsi="Bookman Old Style"/>
          <w:b/>
          <w:i/>
        </w:rPr>
        <w:t xml:space="preserve">con la última regla, el legislador consagra una cláusula general de garantía a favor de la libertad del procesado, cuya privación </w:t>
      </w:r>
      <w:r w:rsidRPr="00FA3473">
        <w:rPr>
          <w:rFonts w:ascii="Bookman Old Style" w:hAnsi="Bookman Old Style"/>
          <w:b/>
          <w:i/>
        </w:rPr>
        <w:lastRenderedPageBreak/>
        <w:t>preventiva en ningún caso puede exceder de un (1) año</w:t>
      </w:r>
      <w:r w:rsidRPr="00FA3473">
        <w:rPr>
          <w:rFonts w:ascii="Bookman Old Style" w:hAnsi="Bookman Old Style"/>
        </w:rPr>
        <w:t>. En este supuesto, el legislador, consciente de que la justificación constitucional de la prisión provisional solo no se diluye si es aplicada por un tiempo razonable y prudencial y exclusivamente con fines preventivos, consagra un término general que permite a esa limitación mantener dicho carácter y, correlativamente, también desvirtuarlo cuando la resulta superar dicho plazo.</w:t>
      </w:r>
    </w:p>
    <w:p w:rsidR="00D81AF2" w:rsidRPr="00FA3473" w:rsidRDefault="00D81AF2" w:rsidP="008C63B9">
      <w:pPr>
        <w:spacing w:line="360" w:lineRule="auto"/>
        <w:ind w:firstLine="705"/>
        <w:jc w:val="both"/>
        <w:rPr>
          <w:rFonts w:ascii="Bookman Old Style" w:hAnsi="Bookman Old Style"/>
          <w:lang w:val="es-CO"/>
        </w:rPr>
      </w:pPr>
    </w:p>
    <w:p w:rsidR="006F5CE7" w:rsidRDefault="00165CD0" w:rsidP="00727F29">
      <w:pPr>
        <w:spacing w:line="336" w:lineRule="auto"/>
        <w:ind w:firstLine="851"/>
        <w:jc w:val="both"/>
        <w:rPr>
          <w:rFonts w:ascii="Bookman Old Style" w:hAnsi="Bookman Old Style"/>
          <w:lang w:val="es-MX"/>
        </w:rPr>
      </w:pPr>
      <w:r w:rsidRPr="00FA3473">
        <w:rPr>
          <w:rFonts w:ascii="Bookman Old Style" w:hAnsi="Bookman Old Style"/>
          <w:lang w:val="es-MX"/>
        </w:rPr>
        <w:t xml:space="preserve">Como en el asunto </w:t>
      </w:r>
      <w:r w:rsidR="007F4E81">
        <w:rPr>
          <w:rFonts w:ascii="Bookman Old Style" w:hAnsi="Bookman Old Style"/>
          <w:lang w:val="es-MX"/>
        </w:rPr>
        <w:t>bajo examen</w:t>
      </w:r>
      <w:r w:rsidRPr="00FA3473">
        <w:rPr>
          <w:rFonts w:ascii="Bookman Old Style" w:hAnsi="Bookman Old Style"/>
          <w:lang w:val="es-MX"/>
        </w:rPr>
        <w:t xml:space="preserve"> </w:t>
      </w:r>
      <w:r w:rsidR="00691782" w:rsidRPr="00FA3473">
        <w:rPr>
          <w:rFonts w:ascii="Bookman Old Style" w:hAnsi="Bookman Old Style"/>
          <w:lang w:val="es-MX"/>
        </w:rPr>
        <w:t xml:space="preserve">se reclama el restablecimiento de la libertad personal por exceso del término máximo genérico de vigencia de la detención preventiva, en seguida procede la Corte a analizar si la norma que fijó tal término en la Ley 906 de 2004 </w:t>
      </w:r>
      <w:r w:rsidR="0090116F">
        <w:rPr>
          <w:rFonts w:ascii="Bookman Old Style" w:hAnsi="Bookman Old Style"/>
          <w:lang w:val="es-MX"/>
        </w:rPr>
        <w:t>resulta</w:t>
      </w:r>
      <w:r w:rsidR="00691782" w:rsidRPr="00FA3473">
        <w:rPr>
          <w:rFonts w:ascii="Bookman Old Style" w:hAnsi="Bookman Old Style"/>
          <w:lang w:val="es-MX"/>
        </w:rPr>
        <w:t xml:space="preserve"> aplicable para asuntos tramitados por la Ley 600 de 2000.</w:t>
      </w:r>
    </w:p>
    <w:p w:rsidR="003C00F7" w:rsidRPr="00FA3473" w:rsidRDefault="00691782" w:rsidP="00727F29">
      <w:pPr>
        <w:spacing w:line="336" w:lineRule="auto"/>
        <w:ind w:firstLine="851"/>
        <w:jc w:val="both"/>
        <w:rPr>
          <w:rFonts w:ascii="Bookman Old Style" w:hAnsi="Bookman Old Style"/>
          <w:lang w:val="es-MX"/>
        </w:rPr>
      </w:pPr>
      <w:r w:rsidRPr="00FA3473">
        <w:rPr>
          <w:rFonts w:ascii="Bookman Old Style" w:hAnsi="Bookman Old Style"/>
          <w:lang w:val="es-MX"/>
        </w:rPr>
        <w:t xml:space="preserve"> </w:t>
      </w:r>
    </w:p>
    <w:p w:rsidR="0072060F" w:rsidRPr="00FA3473" w:rsidRDefault="003C00F7" w:rsidP="00414806">
      <w:pPr>
        <w:autoSpaceDE w:val="0"/>
        <w:autoSpaceDN w:val="0"/>
        <w:adjustRightInd w:val="0"/>
        <w:spacing w:line="336" w:lineRule="auto"/>
        <w:jc w:val="both"/>
        <w:rPr>
          <w:rFonts w:ascii="Bookman Old Style" w:hAnsi="Bookman Old Style"/>
          <w:b/>
          <w:sz w:val="25"/>
          <w:szCs w:val="25"/>
          <w:lang w:val="es-MX"/>
        </w:rPr>
      </w:pPr>
      <w:r w:rsidRPr="00FA3473">
        <w:rPr>
          <w:lang w:eastAsia="es-CO"/>
        </w:rPr>
        <w:t xml:space="preserve"> </w:t>
      </w:r>
      <w:r w:rsidR="00E25FD0" w:rsidRPr="00FA3473">
        <w:rPr>
          <w:lang w:eastAsia="es-CO"/>
        </w:rPr>
        <w:tab/>
      </w:r>
      <w:r w:rsidR="00275D49" w:rsidRPr="00FA3473">
        <w:rPr>
          <w:rFonts w:ascii="Bookman Old Style" w:hAnsi="Bookman Old Style"/>
          <w:b/>
          <w:sz w:val="25"/>
          <w:szCs w:val="25"/>
          <w:lang w:val="es-MX"/>
        </w:rPr>
        <w:t>3.2</w:t>
      </w:r>
      <w:r w:rsidR="0072060F" w:rsidRPr="00FA3473">
        <w:rPr>
          <w:rFonts w:ascii="Bookman Old Style" w:hAnsi="Bookman Old Style"/>
          <w:b/>
          <w:sz w:val="25"/>
          <w:szCs w:val="25"/>
          <w:lang w:val="es-MX"/>
        </w:rPr>
        <w:t xml:space="preserve"> Aplicabilidad </w:t>
      </w:r>
      <w:r w:rsidR="0072060F" w:rsidRPr="00FA3473">
        <w:rPr>
          <w:rFonts w:ascii="Bookman Old Style" w:hAnsi="Bookman Old Style"/>
          <w:b/>
          <w:i/>
          <w:sz w:val="25"/>
          <w:szCs w:val="25"/>
          <w:lang w:val="es-MX"/>
        </w:rPr>
        <w:t>in abstracto</w:t>
      </w:r>
      <w:r w:rsidR="0072060F" w:rsidRPr="00FA3473">
        <w:rPr>
          <w:rFonts w:ascii="Bookman Old Style" w:hAnsi="Bookman Old Style"/>
          <w:b/>
          <w:sz w:val="25"/>
          <w:szCs w:val="25"/>
          <w:lang w:val="es-MX"/>
        </w:rPr>
        <w:t xml:space="preserve"> del término máximo de vigencia de la detención a investigaciones y juzgamientos tramitados por la Ley 600 de 2000</w:t>
      </w:r>
    </w:p>
    <w:p w:rsidR="0072060F" w:rsidRPr="00FA3473" w:rsidRDefault="0072060F" w:rsidP="00727F29">
      <w:pPr>
        <w:spacing w:line="336" w:lineRule="auto"/>
        <w:ind w:firstLine="705"/>
        <w:jc w:val="both"/>
        <w:rPr>
          <w:rFonts w:ascii="Bookman Old Style" w:hAnsi="Bookman Old Style"/>
          <w:b/>
          <w:sz w:val="25"/>
          <w:szCs w:val="25"/>
          <w:lang w:val="es-MX"/>
        </w:rPr>
      </w:pPr>
    </w:p>
    <w:p w:rsidR="00F56844" w:rsidRPr="00FA3473" w:rsidRDefault="00F56844" w:rsidP="00727F29">
      <w:pPr>
        <w:spacing w:line="336" w:lineRule="auto"/>
        <w:ind w:firstLine="705"/>
        <w:jc w:val="both"/>
        <w:rPr>
          <w:rFonts w:ascii="Bookman Old Style" w:hAnsi="Bookman Old Style"/>
          <w:sz w:val="27"/>
          <w:szCs w:val="27"/>
          <w:lang w:val="es-MX"/>
        </w:rPr>
      </w:pPr>
      <w:r w:rsidRPr="00FA3473">
        <w:rPr>
          <w:rFonts w:ascii="Bookman Old Style" w:hAnsi="Bookman Old Style"/>
          <w:sz w:val="27"/>
          <w:szCs w:val="27"/>
          <w:lang w:val="es-MX"/>
        </w:rPr>
        <w:t xml:space="preserve">Es criterio consolidado de la Sala que, como concreción del principio de favorabilidad, es dable aplicar </w:t>
      </w:r>
      <w:r w:rsidR="00627187" w:rsidRPr="00FA3473">
        <w:rPr>
          <w:rFonts w:ascii="Bookman Old Style" w:hAnsi="Bookman Old Style"/>
          <w:sz w:val="27"/>
          <w:szCs w:val="27"/>
          <w:lang w:val="es-MX"/>
        </w:rPr>
        <w:t xml:space="preserve">retroactivamente </w:t>
      </w:r>
      <w:r w:rsidRPr="00FA3473">
        <w:rPr>
          <w:rFonts w:ascii="Bookman Old Style" w:hAnsi="Bookman Old Style"/>
          <w:sz w:val="27"/>
          <w:szCs w:val="27"/>
          <w:lang w:val="es-MX"/>
        </w:rPr>
        <w:t>normas procesales de efectos sustanciales contenidas en la Ley 906 de 2004 a procesos adelantados por la Ley 600 de 2000</w:t>
      </w:r>
      <w:r w:rsidR="00627187" w:rsidRPr="00FA3473">
        <w:rPr>
          <w:rStyle w:val="Refdenotaalpie"/>
          <w:rFonts w:ascii="Bookman Old Style" w:hAnsi="Bookman Old Style"/>
        </w:rPr>
        <w:footnoteReference w:id="18"/>
      </w:r>
      <w:r w:rsidRPr="00FA3473">
        <w:rPr>
          <w:rFonts w:ascii="Bookman Old Style" w:hAnsi="Bookman Old Style"/>
          <w:sz w:val="27"/>
          <w:szCs w:val="27"/>
          <w:lang w:val="es-MX"/>
        </w:rPr>
        <w:t xml:space="preserve">. Ello, condicionado a que, además de la sucesión de leyes en el tiempo y el tránsito o coexistencia de las mismas, se cumplan los siguientes </w:t>
      </w:r>
      <w:r w:rsidR="004C53D0" w:rsidRPr="00FA3473">
        <w:rPr>
          <w:rFonts w:ascii="Bookman Old Style" w:hAnsi="Bookman Old Style"/>
          <w:sz w:val="27"/>
          <w:szCs w:val="27"/>
          <w:lang w:val="es-MX"/>
        </w:rPr>
        <w:t>criterios</w:t>
      </w:r>
      <w:r w:rsidRPr="00FA3473">
        <w:rPr>
          <w:rFonts w:ascii="Bookman Old Style" w:hAnsi="Bookman Old Style"/>
          <w:sz w:val="27"/>
          <w:szCs w:val="27"/>
          <w:lang w:val="es-MX"/>
        </w:rPr>
        <w:t xml:space="preserve">: i) que las figuras jurídicas enfrentadas tengan regulación en las dos legislaciones; ii) que respecto de aquellas se prediquen similares presupuestos fáctico-procesales y iii) que con la </w:t>
      </w:r>
      <w:r w:rsidRPr="00FA3473">
        <w:rPr>
          <w:rFonts w:ascii="Bookman Old Style" w:hAnsi="Bookman Old Style"/>
          <w:sz w:val="27"/>
          <w:szCs w:val="27"/>
          <w:lang w:val="es-MX"/>
        </w:rPr>
        <w:lastRenderedPageBreak/>
        <w:t xml:space="preserve">aplicación </w:t>
      </w:r>
      <w:r w:rsidR="00496BD8" w:rsidRPr="00FA3473">
        <w:rPr>
          <w:rFonts w:ascii="Bookman Old Style" w:hAnsi="Bookman Old Style"/>
          <w:sz w:val="27"/>
          <w:szCs w:val="27"/>
          <w:lang w:val="es-MX"/>
        </w:rPr>
        <w:t>beneficiosa</w:t>
      </w:r>
      <w:r w:rsidRPr="00FA3473">
        <w:rPr>
          <w:rFonts w:ascii="Bookman Old Style" w:hAnsi="Bookman Old Style"/>
          <w:sz w:val="27"/>
          <w:szCs w:val="27"/>
          <w:lang w:val="es-MX"/>
        </w:rPr>
        <w:t xml:space="preserve"> de alguna de ellas no se resquebraje el sistema procesal dentro del cual se le da cabida al instituto favorable.</w:t>
      </w:r>
    </w:p>
    <w:p w:rsidR="0052548E" w:rsidRPr="00FA3473" w:rsidRDefault="0052548E" w:rsidP="00727F29">
      <w:pPr>
        <w:spacing w:line="336" w:lineRule="auto"/>
        <w:ind w:firstLine="705"/>
        <w:jc w:val="both"/>
        <w:rPr>
          <w:rFonts w:ascii="Bookman Old Style" w:hAnsi="Bookman Old Style"/>
          <w:sz w:val="27"/>
          <w:szCs w:val="27"/>
          <w:lang w:val="es-MX"/>
        </w:rPr>
      </w:pPr>
    </w:p>
    <w:p w:rsidR="0052548E" w:rsidRPr="00FA3473" w:rsidRDefault="0052548E" w:rsidP="00727F29">
      <w:pPr>
        <w:spacing w:line="336" w:lineRule="auto"/>
        <w:ind w:firstLine="705"/>
        <w:jc w:val="both"/>
        <w:rPr>
          <w:rFonts w:ascii="Bookman Old Style" w:hAnsi="Bookman Old Style"/>
          <w:sz w:val="27"/>
          <w:szCs w:val="27"/>
          <w:lang w:val="es-MX"/>
        </w:rPr>
      </w:pPr>
      <w:r w:rsidRPr="00FA3473">
        <w:rPr>
          <w:rFonts w:ascii="Bookman Old Style" w:hAnsi="Bookman Old Style"/>
          <w:sz w:val="27"/>
          <w:szCs w:val="27"/>
          <w:lang w:val="es-MX"/>
        </w:rPr>
        <w:t xml:space="preserve">Pues bien, </w:t>
      </w:r>
      <w:r w:rsidR="00B56D86" w:rsidRPr="00FA3473">
        <w:rPr>
          <w:rFonts w:ascii="Bookman Old Style" w:hAnsi="Bookman Old Style"/>
          <w:sz w:val="27"/>
          <w:szCs w:val="27"/>
          <w:lang w:val="es-MX"/>
        </w:rPr>
        <w:t>en el presente caso, no hay duda de que la norma procesal cuya aplicación retroactiva se reclama</w:t>
      </w:r>
      <w:r w:rsidR="00404780" w:rsidRPr="00FA3473">
        <w:rPr>
          <w:rFonts w:ascii="Bookman Old Style" w:hAnsi="Bookman Old Style"/>
          <w:sz w:val="27"/>
          <w:szCs w:val="27"/>
          <w:lang w:val="es-MX"/>
        </w:rPr>
        <w:t>, en primer lugar, produce efectos sustanciales</w:t>
      </w:r>
      <w:r w:rsidR="00B56D86" w:rsidRPr="00FA3473">
        <w:rPr>
          <w:rFonts w:ascii="Bookman Old Style" w:hAnsi="Bookman Old Style"/>
          <w:sz w:val="27"/>
          <w:szCs w:val="27"/>
          <w:lang w:val="es-MX"/>
        </w:rPr>
        <w:t xml:space="preserve"> determi</w:t>
      </w:r>
      <w:r w:rsidR="00404780" w:rsidRPr="00FA3473">
        <w:rPr>
          <w:rFonts w:ascii="Bookman Old Style" w:hAnsi="Bookman Old Style"/>
          <w:sz w:val="27"/>
          <w:szCs w:val="27"/>
          <w:lang w:val="es-MX"/>
        </w:rPr>
        <w:t xml:space="preserve">nados a partir de su naturaleza. Ésta </w:t>
      </w:r>
      <w:r w:rsidR="00E910F2" w:rsidRPr="00FA3473">
        <w:rPr>
          <w:rFonts w:ascii="Bookman Old Style" w:hAnsi="Bookman Old Style"/>
          <w:sz w:val="27"/>
          <w:szCs w:val="27"/>
          <w:lang w:val="es-MX"/>
        </w:rPr>
        <w:t>corresponde a</w:t>
      </w:r>
      <w:r w:rsidR="00B56D86" w:rsidRPr="00FA3473">
        <w:rPr>
          <w:rFonts w:ascii="Bookman Old Style" w:hAnsi="Bookman Old Style"/>
          <w:sz w:val="27"/>
          <w:szCs w:val="27"/>
          <w:lang w:val="es-MX"/>
        </w:rPr>
        <w:t xml:space="preserve"> la concreción de una garantía fundamental que desarrolla tanto los contornos específicos del debido proceso </w:t>
      </w:r>
      <w:r w:rsidR="00B56D86" w:rsidRPr="00FA3473">
        <w:rPr>
          <w:rFonts w:ascii="Bookman Old Style" w:hAnsi="Bookman Old Style"/>
          <w:sz w:val="25"/>
          <w:szCs w:val="25"/>
          <w:lang w:val="es-MX"/>
        </w:rPr>
        <w:t>-en su componente del derecho a ser juzgado sin dilaciones injustificadas-</w:t>
      </w:r>
      <w:r w:rsidR="00B56D86" w:rsidRPr="00FA3473">
        <w:rPr>
          <w:rFonts w:ascii="Bookman Old Style" w:hAnsi="Bookman Old Style"/>
          <w:sz w:val="27"/>
          <w:szCs w:val="27"/>
          <w:lang w:val="es-MX"/>
        </w:rPr>
        <w:t xml:space="preserve"> como los contenidos del principio constitucional de proporcionalidad (prohibición de exceso), en relación con la limitación de las injerencias en la </w:t>
      </w:r>
      <w:r w:rsidR="007F0382">
        <w:rPr>
          <w:rFonts w:ascii="Bookman Old Style" w:hAnsi="Bookman Old Style"/>
          <w:sz w:val="27"/>
          <w:szCs w:val="27"/>
          <w:lang w:val="es-MX"/>
        </w:rPr>
        <w:t>libertad personal</w:t>
      </w:r>
      <w:r w:rsidR="00B56D86" w:rsidRPr="00FA3473">
        <w:rPr>
          <w:rFonts w:ascii="Bookman Old Style" w:hAnsi="Bookman Old Style"/>
          <w:sz w:val="27"/>
          <w:szCs w:val="27"/>
          <w:lang w:val="es-MX"/>
        </w:rPr>
        <w:t xml:space="preserve"> a través de medidas </w:t>
      </w:r>
      <w:r w:rsidR="00785AA5" w:rsidRPr="00FA3473">
        <w:rPr>
          <w:rFonts w:ascii="Bookman Old Style" w:hAnsi="Bookman Old Style"/>
          <w:sz w:val="27"/>
          <w:szCs w:val="27"/>
          <w:lang w:val="es-MX"/>
        </w:rPr>
        <w:t>cautelares en el proceso penal.</w:t>
      </w:r>
      <w:r w:rsidR="00404780" w:rsidRPr="00FA3473">
        <w:rPr>
          <w:rFonts w:ascii="Bookman Old Style" w:hAnsi="Bookman Old Style"/>
          <w:sz w:val="27"/>
          <w:szCs w:val="27"/>
          <w:lang w:val="es-MX"/>
        </w:rPr>
        <w:t xml:space="preserve"> Y la disposición normativa concernida, desde luego, es favorable al procesado, en la medida en que la fijación de un término máximo de vigencia de la detención preventiva no existe en la Ley 600 de 2000. </w:t>
      </w:r>
    </w:p>
    <w:p w:rsidR="00DB70B6" w:rsidRPr="00FA3473" w:rsidRDefault="00DB70B6" w:rsidP="00727F29">
      <w:pPr>
        <w:spacing w:line="336" w:lineRule="auto"/>
        <w:ind w:firstLine="705"/>
        <w:jc w:val="both"/>
        <w:rPr>
          <w:rFonts w:ascii="Bookman Old Style" w:hAnsi="Bookman Old Style"/>
          <w:sz w:val="27"/>
          <w:szCs w:val="27"/>
          <w:lang w:val="es-MX"/>
        </w:rPr>
      </w:pPr>
    </w:p>
    <w:p w:rsidR="00DB70B6" w:rsidRPr="00FA3473" w:rsidRDefault="00DB70B6" w:rsidP="00727F29">
      <w:pPr>
        <w:spacing w:line="336" w:lineRule="auto"/>
        <w:ind w:firstLine="705"/>
        <w:jc w:val="both"/>
        <w:rPr>
          <w:rFonts w:ascii="Bookman Old Style" w:hAnsi="Bookman Old Style"/>
          <w:sz w:val="27"/>
          <w:szCs w:val="27"/>
          <w:lang w:val="es-MX"/>
        </w:rPr>
      </w:pPr>
      <w:r w:rsidRPr="00FA3473">
        <w:rPr>
          <w:rFonts w:ascii="Bookman Old Style" w:hAnsi="Bookman Old Style"/>
          <w:sz w:val="27"/>
          <w:szCs w:val="27"/>
          <w:lang w:val="es-MX"/>
        </w:rPr>
        <w:t>En segundo orden, salta a la vista que la detención preventiva</w:t>
      </w:r>
      <w:r w:rsidR="00BE38C7" w:rsidRPr="00FA3473">
        <w:rPr>
          <w:rFonts w:ascii="Bookman Old Style" w:hAnsi="Bookman Old Style"/>
          <w:sz w:val="27"/>
          <w:szCs w:val="27"/>
          <w:lang w:val="es-MX"/>
        </w:rPr>
        <w:t xml:space="preserve">, en tanto medida cautelar accesoria </w:t>
      </w:r>
      <w:r w:rsidR="00BE38C7" w:rsidRPr="00FA3473">
        <w:rPr>
          <w:rFonts w:ascii="Bookman Old Style" w:hAnsi="Bookman Old Style"/>
          <w:i/>
          <w:sz w:val="27"/>
          <w:szCs w:val="27"/>
          <w:lang w:val="es-MX"/>
        </w:rPr>
        <w:t>al proceso penal</w:t>
      </w:r>
      <w:r w:rsidR="00BE38C7" w:rsidRPr="00FA3473">
        <w:rPr>
          <w:rFonts w:ascii="Bookman Old Style" w:hAnsi="Bookman Old Style"/>
          <w:sz w:val="27"/>
          <w:szCs w:val="27"/>
          <w:lang w:val="es-MX"/>
        </w:rPr>
        <w:t xml:space="preserve">, </w:t>
      </w:r>
      <w:r w:rsidRPr="00FA3473">
        <w:rPr>
          <w:rFonts w:ascii="Bookman Old Style" w:hAnsi="Bookman Old Style"/>
          <w:sz w:val="27"/>
          <w:szCs w:val="27"/>
          <w:lang w:val="es-MX"/>
        </w:rPr>
        <w:t>encuentra regulación en las dos codificaciones procesales que aqu</w:t>
      </w:r>
      <w:r w:rsidR="00EC2D8D" w:rsidRPr="00FA3473">
        <w:rPr>
          <w:rFonts w:ascii="Bookman Old Style" w:hAnsi="Bookman Old Style"/>
          <w:sz w:val="27"/>
          <w:szCs w:val="27"/>
          <w:lang w:val="es-MX"/>
        </w:rPr>
        <w:t xml:space="preserve">í se contrastan </w:t>
      </w:r>
      <w:r w:rsidR="00EC2D8D" w:rsidRPr="00FA3473">
        <w:rPr>
          <w:rFonts w:ascii="Bookman Old Style" w:hAnsi="Bookman Old Style"/>
          <w:sz w:val="25"/>
          <w:szCs w:val="25"/>
          <w:lang w:val="es-MX"/>
        </w:rPr>
        <w:t>(arts. 355 y ss. de la Ley 600 de 2000 y arts. 306 y ss. de la Ley 906 de 2004)</w:t>
      </w:r>
      <w:r w:rsidR="00EC2D8D" w:rsidRPr="00FA3473">
        <w:rPr>
          <w:rFonts w:ascii="Bookman Old Style" w:hAnsi="Bookman Old Style"/>
          <w:sz w:val="27"/>
          <w:szCs w:val="27"/>
          <w:lang w:val="es-MX"/>
        </w:rPr>
        <w:t xml:space="preserve">. En las dos legislaciones están determinados, </w:t>
      </w:r>
      <w:r w:rsidR="00EC2D8D" w:rsidRPr="00FA3473">
        <w:rPr>
          <w:rFonts w:ascii="Bookman Old Style" w:hAnsi="Bookman Old Style"/>
          <w:i/>
          <w:sz w:val="27"/>
          <w:szCs w:val="27"/>
          <w:lang w:val="es-MX"/>
        </w:rPr>
        <w:t>entre otros aspectos</w:t>
      </w:r>
      <w:r w:rsidR="00EC2D8D" w:rsidRPr="00FA3473">
        <w:rPr>
          <w:rFonts w:ascii="Bookman Old Style" w:hAnsi="Bookman Old Style"/>
          <w:sz w:val="27"/>
          <w:szCs w:val="27"/>
          <w:lang w:val="es-MX"/>
        </w:rPr>
        <w:t xml:space="preserve">, las finalidades asignadas a las medidas de aseguramiento, los requisitos sustanciales y formales para su imposición, los motivos de suspensión o sustitución y las causales de revocatoria. </w:t>
      </w:r>
      <w:r w:rsidR="00696115" w:rsidRPr="00FA3473">
        <w:rPr>
          <w:rFonts w:ascii="Bookman Old Style" w:hAnsi="Bookman Old Style"/>
          <w:sz w:val="27"/>
          <w:szCs w:val="27"/>
          <w:lang w:val="es-MX"/>
        </w:rPr>
        <w:t xml:space="preserve">La detención preventiva no es, entonces, propia </w:t>
      </w:r>
      <w:r w:rsidR="00696115" w:rsidRPr="00FA3473">
        <w:rPr>
          <w:rFonts w:ascii="Bookman Old Style" w:hAnsi="Bookman Old Style"/>
          <w:sz w:val="27"/>
          <w:szCs w:val="27"/>
          <w:lang w:val="es-MX"/>
        </w:rPr>
        <w:lastRenderedPageBreak/>
        <w:t xml:space="preserve">de ningún esquema procesal ni, mucho menos, propia de alguno de los mencionados códigos de procedimiento penal. </w:t>
      </w:r>
    </w:p>
    <w:p w:rsidR="00696115" w:rsidRPr="00FA3473" w:rsidRDefault="00696115" w:rsidP="00727F29">
      <w:pPr>
        <w:spacing w:line="336" w:lineRule="auto"/>
        <w:ind w:firstLine="705"/>
        <w:jc w:val="both"/>
        <w:rPr>
          <w:rFonts w:ascii="Bookman Old Style" w:hAnsi="Bookman Old Style"/>
          <w:sz w:val="27"/>
          <w:szCs w:val="27"/>
          <w:lang w:val="es-MX"/>
        </w:rPr>
      </w:pPr>
    </w:p>
    <w:p w:rsidR="00D4678E" w:rsidRPr="00FA3473" w:rsidRDefault="00696115" w:rsidP="00727F29">
      <w:pPr>
        <w:spacing w:line="336" w:lineRule="auto"/>
        <w:ind w:firstLine="705"/>
        <w:jc w:val="both"/>
        <w:rPr>
          <w:rFonts w:ascii="Bookman Old Style" w:eastAsia="WarnockPro-Regular" w:hAnsi="Bookman Old Style" w:cs="WarnockPro-Regular"/>
          <w:sz w:val="27"/>
          <w:szCs w:val="27"/>
          <w:lang w:val="es-CO" w:eastAsia="en-US"/>
        </w:rPr>
      </w:pPr>
      <w:r w:rsidRPr="00FA3473">
        <w:rPr>
          <w:rFonts w:ascii="Bookman Old Style" w:hAnsi="Bookman Old Style"/>
          <w:sz w:val="26"/>
          <w:szCs w:val="26"/>
          <w:lang w:val="es-MX"/>
        </w:rPr>
        <w:t xml:space="preserve">En tercer término, </w:t>
      </w:r>
      <w:r w:rsidR="00DC73E0" w:rsidRPr="00FA3473">
        <w:rPr>
          <w:rFonts w:ascii="Bookman Old Style" w:hAnsi="Bookman Old Style"/>
          <w:sz w:val="26"/>
          <w:szCs w:val="26"/>
          <w:lang w:val="es-MX"/>
        </w:rPr>
        <w:t xml:space="preserve">los supuestos fáctico-jurídicos que dan lugar a la imposición de las medidas de aseguramiento </w:t>
      </w:r>
      <w:r w:rsidR="00020848" w:rsidRPr="00FA3473">
        <w:rPr>
          <w:rFonts w:ascii="Bookman Old Style" w:hAnsi="Bookman Old Style"/>
          <w:sz w:val="26"/>
          <w:szCs w:val="26"/>
          <w:lang w:val="es-MX"/>
        </w:rPr>
        <w:t xml:space="preserve">son similares. </w:t>
      </w:r>
      <w:r w:rsidR="00B80958" w:rsidRPr="00FA3473">
        <w:rPr>
          <w:rFonts w:ascii="Bookman Old Style" w:hAnsi="Bookman Old Style"/>
          <w:sz w:val="26"/>
          <w:szCs w:val="26"/>
          <w:lang w:val="es-MX"/>
        </w:rPr>
        <w:t xml:space="preserve">Contrastados </w:t>
      </w:r>
      <w:r w:rsidR="006F7575" w:rsidRPr="00FA3473">
        <w:rPr>
          <w:rFonts w:ascii="Bookman Old Style" w:hAnsi="Bookman Old Style"/>
          <w:sz w:val="26"/>
          <w:szCs w:val="26"/>
          <w:lang w:val="es-MX"/>
        </w:rPr>
        <w:t xml:space="preserve">los arts. </w:t>
      </w:r>
      <w:r w:rsidR="00B80958" w:rsidRPr="00FA3473">
        <w:rPr>
          <w:rFonts w:ascii="Bookman Old Style" w:hAnsi="Bookman Old Style"/>
          <w:sz w:val="26"/>
          <w:szCs w:val="26"/>
          <w:lang w:val="es-MX"/>
        </w:rPr>
        <w:t>355 y 366 de la Ley 600 de 2000</w:t>
      </w:r>
      <w:r w:rsidR="006F7575" w:rsidRPr="00FA3473">
        <w:rPr>
          <w:rFonts w:ascii="Bookman Old Style" w:hAnsi="Bookman Old Style"/>
          <w:sz w:val="26"/>
          <w:szCs w:val="26"/>
          <w:lang w:val="es-MX"/>
        </w:rPr>
        <w:t xml:space="preserve"> con los arts. 296 y 308 de la Ley 906 de 2004, </w:t>
      </w:r>
      <w:r w:rsidR="00D4678E" w:rsidRPr="00FA3473">
        <w:rPr>
          <w:rFonts w:ascii="Bookman Old Style" w:hAnsi="Bookman Old Style"/>
          <w:sz w:val="26"/>
          <w:szCs w:val="26"/>
          <w:lang w:val="es-MX"/>
        </w:rPr>
        <w:t xml:space="preserve">puede afirmarse que </w:t>
      </w:r>
      <w:r w:rsidR="006F7575" w:rsidRPr="00FA3473">
        <w:rPr>
          <w:rFonts w:ascii="Bookman Old Style" w:eastAsia="WarnockPro-Regular" w:hAnsi="Bookman Old Style" w:cs="WarnockPro-Regular"/>
          <w:sz w:val="26"/>
          <w:szCs w:val="26"/>
          <w:lang w:val="es-CO" w:eastAsia="en-US"/>
        </w:rPr>
        <w:t>la aplicación de la detención preventiva está condicionada a la verificación</w:t>
      </w:r>
      <w:r w:rsidR="006F7575" w:rsidRPr="00FA3473">
        <w:rPr>
          <w:rFonts w:ascii="Bookman Old Style" w:eastAsia="WarnockPro-Regular" w:hAnsi="Bookman Old Style" w:cs="WarnockPro-Regular"/>
          <w:sz w:val="27"/>
          <w:szCs w:val="27"/>
          <w:lang w:val="es-CO" w:eastAsia="en-US"/>
        </w:rPr>
        <w:t xml:space="preserve"> </w:t>
      </w:r>
      <w:r w:rsidR="00D4678E" w:rsidRPr="00FA3473">
        <w:rPr>
          <w:rFonts w:ascii="Bookman Old Style" w:eastAsia="WarnockPro-Regular" w:hAnsi="Bookman Old Style" w:cs="WarnockPro-Regular"/>
          <w:sz w:val="25"/>
          <w:szCs w:val="25"/>
          <w:lang w:val="es-CO" w:eastAsia="en-US"/>
        </w:rPr>
        <w:t>-concurrente, no alternativa-</w:t>
      </w:r>
      <w:r w:rsidR="00D4678E" w:rsidRPr="00FA3473">
        <w:rPr>
          <w:rFonts w:ascii="Bookman Old Style" w:eastAsia="WarnockPro-Regular" w:hAnsi="Bookman Old Style" w:cs="WarnockPro-Regular"/>
          <w:sz w:val="27"/>
          <w:szCs w:val="27"/>
          <w:lang w:val="es-CO" w:eastAsia="en-US"/>
        </w:rPr>
        <w:t xml:space="preserve"> </w:t>
      </w:r>
      <w:r w:rsidR="006F7575" w:rsidRPr="00FA3473">
        <w:rPr>
          <w:rFonts w:ascii="Bookman Old Style" w:eastAsia="WarnockPro-Regular" w:hAnsi="Bookman Old Style" w:cs="WarnockPro-Regular"/>
          <w:sz w:val="26"/>
          <w:szCs w:val="26"/>
          <w:lang w:val="es-CO" w:eastAsia="en-US"/>
        </w:rPr>
        <w:t xml:space="preserve">de </w:t>
      </w:r>
      <w:r w:rsidR="00D4678E" w:rsidRPr="00FA3473">
        <w:rPr>
          <w:rFonts w:ascii="Bookman Old Style" w:eastAsia="WarnockPro-Regular" w:hAnsi="Bookman Old Style" w:cs="WarnockPro-Regular"/>
          <w:sz w:val="26"/>
          <w:szCs w:val="26"/>
          <w:lang w:val="es-CO" w:eastAsia="en-US"/>
        </w:rPr>
        <w:t xml:space="preserve">los mismos </w:t>
      </w:r>
      <w:r w:rsidR="006F7575" w:rsidRPr="00FA3473">
        <w:rPr>
          <w:rFonts w:ascii="Bookman Old Style" w:eastAsia="WarnockPro-Regular" w:hAnsi="Bookman Old Style" w:cs="WarnockPro-Regular"/>
          <w:sz w:val="26"/>
          <w:szCs w:val="26"/>
          <w:lang w:val="es-CO" w:eastAsia="en-US"/>
        </w:rPr>
        <w:t xml:space="preserve">presupuestos </w:t>
      </w:r>
      <w:r w:rsidR="006F7575" w:rsidRPr="00FA3473">
        <w:rPr>
          <w:rFonts w:ascii="Bookman Old Style" w:eastAsia="WarnockPro-Regular" w:hAnsi="Bookman Old Style" w:cs="WarnockPro-Regular"/>
          <w:i/>
          <w:sz w:val="26"/>
          <w:szCs w:val="26"/>
          <w:lang w:val="es-CO" w:eastAsia="en-US"/>
        </w:rPr>
        <w:t>materiales</w:t>
      </w:r>
      <w:r w:rsidR="006F7575" w:rsidRPr="00FA3473">
        <w:rPr>
          <w:rFonts w:ascii="Bookman Old Style" w:eastAsia="WarnockPro-Regular" w:hAnsi="Bookman Old Style" w:cs="WarnockPro-Regular"/>
          <w:sz w:val="26"/>
          <w:szCs w:val="26"/>
          <w:lang w:val="es-CO" w:eastAsia="en-US"/>
        </w:rPr>
        <w:t>,</w:t>
      </w:r>
      <w:r w:rsidR="00D4678E" w:rsidRPr="00FA3473">
        <w:rPr>
          <w:rFonts w:ascii="Bookman Old Style" w:eastAsia="WarnockPro-Regular" w:hAnsi="Bookman Old Style" w:cs="WarnockPro-Regular"/>
          <w:sz w:val="26"/>
          <w:szCs w:val="26"/>
          <w:lang w:val="es-CO" w:eastAsia="en-US"/>
        </w:rPr>
        <w:t xml:space="preserve"> a saber:</w:t>
      </w:r>
      <w:r w:rsidR="00D4678E" w:rsidRPr="00FA3473">
        <w:rPr>
          <w:rFonts w:ascii="Bookman Old Style" w:eastAsia="WarnockPro-Regular" w:hAnsi="Bookman Old Style" w:cs="WarnockPro-Regular"/>
          <w:sz w:val="27"/>
          <w:szCs w:val="27"/>
          <w:lang w:val="es-CO" w:eastAsia="en-US"/>
        </w:rPr>
        <w:t xml:space="preserve"> </w:t>
      </w:r>
    </w:p>
    <w:p w:rsidR="00D4678E" w:rsidRPr="00FA3473" w:rsidRDefault="00D4678E" w:rsidP="00727F29">
      <w:pPr>
        <w:spacing w:line="336" w:lineRule="auto"/>
        <w:ind w:firstLine="705"/>
        <w:jc w:val="both"/>
        <w:rPr>
          <w:rFonts w:ascii="Bookman Old Style" w:eastAsia="WarnockPro-Regular" w:hAnsi="Bookman Old Style" w:cs="WarnockPro-Regular"/>
          <w:sz w:val="27"/>
          <w:szCs w:val="27"/>
          <w:lang w:val="es-CO" w:eastAsia="en-US"/>
        </w:rPr>
      </w:pPr>
    </w:p>
    <w:p w:rsidR="00184F10" w:rsidRPr="00FA3473" w:rsidRDefault="00B80958" w:rsidP="00727F29">
      <w:pPr>
        <w:spacing w:line="336" w:lineRule="auto"/>
        <w:ind w:firstLine="705"/>
        <w:jc w:val="both"/>
        <w:rPr>
          <w:rFonts w:ascii="Bookman Old Style" w:eastAsia="WarnockPro-Regular" w:hAnsi="Bookman Old Style" w:cs="WarnockPro-Regular"/>
          <w:sz w:val="27"/>
          <w:szCs w:val="27"/>
          <w:lang w:val="es-CO" w:eastAsia="en-US"/>
        </w:rPr>
      </w:pPr>
      <w:r w:rsidRPr="00FA3473">
        <w:rPr>
          <w:rFonts w:ascii="Bookman Old Style" w:eastAsia="WarnockPro-Regular" w:hAnsi="Bookman Old Style" w:cs="WarnockPro-Regular"/>
          <w:sz w:val="27"/>
          <w:szCs w:val="27"/>
          <w:lang w:val="es-CO" w:eastAsia="en-US"/>
        </w:rPr>
        <w:t xml:space="preserve">Por una parte, </w:t>
      </w:r>
      <w:r w:rsidR="00D4678E" w:rsidRPr="00FA3473">
        <w:rPr>
          <w:rFonts w:ascii="Bookman Old Style" w:eastAsia="WarnockPro-Regular" w:hAnsi="Bookman Old Style" w:cs="WarnockPro-Regular"/>
          <w:sz w:val="27"/>
          <w:szCs w:val="27"/>
          <w:lang w:val="es-CO" w:eastAsia="en-US"/>
        </w:rPr>
        <w:t>el denominado</w:t>
      </w:r>
      <w:r w:rsidR="00F30E96">
        <w:rPr>
          <w:rFonts w:ascii="Bookman Old Style" w:eastAsia="WarnockPro-Regular" w:hAnsi="Bookman Old Style" w:cs="WarnockPro-Regular"/>
          <w:sz w:val="27"/>
          <w:szCs w:val="27"/>
          <w:lang w:val="es-CO" w:eastAsia="en-US"/>
        </w:rPr>
        <w:t xml:space="preserve"> estado de sospecha fundada</w:t>
      </w:r>
      <w:r w:rsidR="00EF22D9">
        <w:rPr>
          <w:rFonts w:ascii="Bookman Old Style" w:eastAsia="WarnockPro-Regular" w:hAnsi="Bookman Old Style" w:cs="WarnockPro-Regular"/>
          <w:sz w:val="27"/>
          <w:szCs w:val="27"/>
          <w:lang w:val="es-CO" w:eastAsia="en-US"/>
        </w:rPr>
        <w:t xml:space="preserve">, constituido </w:t>
      </w:r>
      <w:r w:rsidR="006F7575" w:rsidRPr="00FA3473">
        <w:rPr>
          <w:rFonts w:ascii="Bookman Old Style" w:eastAsia="WarnockPro-Regular" w:hAnsi="Bookman Old Style" w:cs="WarnockPro-Regular"/>
          <w:sz w:val="27"/>
          <w:szCs w:val="27"/>
          <w:lang w:val="es-CO" w:eastAsia="en-US"/>
        </w:rPr>
        <w:t xml:space="preserve">por la </w:t>
      </w:r>
      <w:r w:rsidR="00D4678E" w:rsidRPr="00FA3473">
        <w:rPr>
          <w:rFonts w:ascii="Bookman Old Style" w:eastAsia="WarnockPro-Regular" w:hAnsi="Bookman Old Style" w:cs="WarnockPro-Regular"/>
          <w:sz w:val="27"/>
          <w:szCs w:val="27"/>
          <w:lang w:val="es-CO" w:eastAsia="en-US"/>
        </w:rPr>
        <w:t xml:space="preserve">acreditación </w:t>
      </w:r>
      <w:r w:rsidR="00EF22D9">
        <w:rPr>
          <w:rFonts w:ascii="Bookman Old Style" w:eastAsia="WarnockPro-Regular" w:hAnsi="Bookman Old Style" w:cs="WarnockPro-Regular"/>
          <w:sz w:val="27"/>
          <w:szCs w:val="27"/>
          <w:lang w:val="es-CO" w:eastAsia="en-US"/>
        </w:rPr>
        <w:t xml:space="preserve">de la materialidad del delito y </w:t>
      </w:r>
      <w:r w:rsidR="006F7575" w:rsidRPr="00FA3473">
        <w:rPr>
          <w:rFonts w:ascii="Bookman Old Style" w:eastAsia="WarnockPro-Regular" w:hAnsi="Bookman Old Style" w:cs="WarnockPro-Regular"/>
          <w:sz w:val="27"/>
          <w:szCs w:val="27"/>
          <w:lang w:val="es-CO" w:eastAsia="en-US"/>
        </w:rPr>
        <w:t xml:space="preserve">por la probable </w:t>
      </w:r>
      <w:r w:rsidR="00D4678E" w:rsidRPr="00FA3473">
        <w:rPr>
          <w:rFonts w:ascii="Bookman Old Style" w:eastAsia="WarnockPro-Regular" w:hAnsi="Bookman Old Style" w:cs="WarnockPro-Regular"/>
          <w:sz w:val="27"/>
          <w:szCs w:val="27"/>
          <w:lang w:val="es-CO" w:eastAsia="en-US"/>
        </w:rPr>
        <w:t>atribución</w:t>
      </w:r>
      <w:r w:rsidR="006F7575" w:rsidRPr="00FA3473">
        <w:rPr>
          <w:rFonts w:ascii="Bookman Old Style" w:eastAsia="WarnockPro-Regular" w:hAnsi="Bookman Old Style" w:cs="WarnockPro-Regular"/>
          <w:sz w:val="27"/>
          <w:szCs w:val="27"/>
          <w:lang w:val="es-CO" w:eastAsia="en-US"/>
        </w:rPr>
        <w:t xml:space="preserve"> de</w:t>
      </w:r>
      <w:r w:rsidR="00D4678E" w:rsidRPr="00FA3473">
        <w:rPr>
          <w:rFonts w:ascii="Bookman Old Style" w:eastAsia="WarnockPro-Regular" w:hAnsi="Bookman Old Style" w:cs="WarnockPro-Regular"/>
          <w:sz w:val="27"/>
          <w:szCs w:val="27"/>
          <w:lang w:val="es-CO" w:eastAsia="en-US"/>
        </w:rPr>
        <w:t xml:space="preserve"> </w:t>
      </w:r>
      <w:r w:rsidR="004469BC">
        <w:rPr>
          <w:rFonts w:ascii="Bookman Old Style" w:eastAsia="WarnockPro-Regular" w:hAnsi="Bookman Old Style" w:cs="WarnockPro-Regular"/>
          <w:sz w:val="27"/>
          <w:szCs w:val="27"/>
          <w:lang w:val="es-CO" w:eastAsia="en-US"/>
        </w:rPr>
        <w:t>responsabilidad al imputado</w:t>
      </w:r>
      <w:r w:rsidR="004314B4">
        <w:rPr>
          <w:rFonts w:ascii="Bookman Old Style" w:eastAsia="WarnockPro-Regular" w:hAnsi="Bookman Old Style" w:cs="WarnockPro-Regular"/>
          <w:sz w:val="27"/>
          <w:szCs w:val="27"/>
          <w:lang w:val="es-CO" w:eastAsia="en-US"/>
        </w:rPr>
        <w:t xml:space="preserve">; </w:t>
      </w:r>
      <w:r w:rsidRPr="00FA3473">
        <w:rPr>
          <w:rFonts w:ascii="Bookman Old Style" w:eastAsia="WarnockPro-Regular" w:hAnsi="Bookman Old Style" w:cs="WarnockPro-Regular"/>
          <w:sz w:val="27"/>
          <w:szCs w:val="27"/>
          <w:lang w:val="es-CO" w:eastAsia="en-US"/>
        </w:rPr>
        <w:t xml:space="preserve">por otra, </w:t>
      </w:r>
      <w:r w:rsidR="002110D0">
        <w:rPr>
          <w:rFonts w:ascii="Bookman Old Style" w:eastAsia="WarnockPro-Regular" w:hAnsi="Bookman Old Style" w:cs="WarnockPro-Regular"/>
          <w:sz w:val="27"/>
          <w:szCs w:val="27"/>
          <w:lang w:val="es-CO" w:eastAsia="en-US"/>
        </w:rPr>
        <w:t>el concerniente a la</w:t>
      </w:r>
      <w:r w:rsidR="006F7575" w:rsidRPr="00FA3473">
        <w:rPr>
          <w:rFonts w:ascii="Bookman Old Style" w:eastAsia="WarnockPro-Regular" w:hAnsi="Bookman Old Style" w:cs="WarnockPro-Regular"/>
          <w:sz w:val="27"/>
          <w:szCs w:val="27"/>
          <w:lang w:val="es-CO" w:eastAsia="en-US"/>
        </w:rPr>
        <w:t xml:space="preserve"> urgencia de conjurar los riesgos que la</w:t>
      </w:r>
      <w:r w:rsidR="00D4678E" w:rsidRPr="00FA3473">
        <w:rPr>
          <w:rFonts w:ascii="Bookman Old Style" w:eastAsia="WarnockPro-Regular" w:hAnsi="Bookman Old Style" w:cs="WarnockPro-Regular"/>
          <w:sz w:val="27"/>
          <w:szCs w:val="27"/>
          <w:lang w:val="es-CO" w:eastAsia="en-US"/>
        </w:rPr>
        <w:t xml:space="preserve"> </w:t>
      </w:r>
      <w:r w:rsidR="006F7575" w:rsidRPr="00FA3473">
        <w:rPr>
          <w:rFonts w:ascii="Bookman Old Style" w:eastAsia="WarnockPro-Regular" w:hAnsi="Bookman Old Style" w:cs="WarnockPro-Regular"/>
          <w:sz w:val="27"/>
          <w:szCs w:val="27"/>
          <w:lang w:val="es-CO" w:eastAsia="en-US"/>
        </w:rPr>
        <w:t xml:space="preserve">libertad del imputado representan para </w:t>
      </w:r>
      <w:r w:rsidR="00D4678E" w:rsidRPr="00FA3473">
        <w:rPr>
          <w:rFonts w:ascii="Bookman Old Style" w:eastAsia="WarnockPro-Regular" w:hAnsi="Bookman Old Style" w:cs="WarnockPro-Regular"/>
          <w:sz w:val="27"/>
          <w:szCs w:val="27"/>
          <w:lang w:val="es-CO" w:eastAsia="en-US"/>
        </w:rPr>
        <w:t>la comunidad o las víctimas y para la indemnidad del proceso penal (riesgos de fuga o de obstrucción probatoria)</w:t>
      </w:r>
      <w:r w:rsidR="00D4678E" w:rsidRPr="00FA3473">
        <w:rPr>
          <w:rStyle w:val="Refdenotaalpie"/>
          <w:rFonts w:ascii="Bookman Old Style" w:eastAsia="WarnockPro-Regular" w:hAnsi="Bookman Old Style" w:cs="WarnockPro-Regular"/>
          <w:sz w:val="27"/>
          <w:szCs w:val="27"/>
          <w:lang w:val="es-CO" w:eastAsia="en-US"/>
        </w:rPr>
        <w:footnoteReference w:id="19"/>
      </w:r>
      <w:r w:rsidR="00D4678E" w:rsidRPr="00FA3473">
        <w:rPr>
          <w:rFonts w:ascii="Bookman Old Style" w:eastAsia="WarnockPro-Regular" w:hAnsi="Bookman Old Style" w:cs="WarnockPro-Regular"/>
          <w:sz w:val="27"/>
          <w:szCs w:val="27"/>
          <w:lang w:val="es-CO" w:eastAsia="en-US"/>
        </w:rPr>
        <w:t xml:space="preserve">. </w:t>
      </w:r>
    </w:p>
    <w:p w:rsidR="00184F10" w:rsidRPr="00FA3473" w:rsidRDefault="00184F10" w:rsidP="00727F29">
      <w:pPr>
        <w:spacing w:line="336" w:lineRule="auto"/>
        <w:ind w:firstLine="705"/>
        <w:jc w:val="both"/>
        <w:rPr>
          <w:rFonts w:ascii="Bookman Old Style" w:eastAsia="WarnockPro-Regular" w:hAnsi="Bookman Old Style" w:cs="WarnockPro-Regular"/>
          <w:sz w:val="27"/>
          <w:szCs w:val="27"/>
          <w:lang w:val="es-CO" w:eastAsia="en-US"/>
        </w:rPr>
      </w:pPr>
    </w:p>
    <w:p w:rsidR="00CA4C58" w:rsidRDefault="00184F10" w:rsidP="00727F29">
      <w:pPr>
        <w:spacing w:line="336" w:lineRule="auto"/>
        <w:ind w:firstLine="705"/>
        <w:jc w:val="both"/>
        <w:rPr>
          <w:rFonts w:ascii="Bookman Old Style" w:eastAsia="WarnockPro-Regular" w:hAnsi="Bookman Old Style" w:cs="WarnockPro-Regular"/>
          <w:sz w:val="27"/>
          <w:szCs w:val="27"/>
          <w:lang w:val="es-CO" w:eastAsia="en-US"/>
        </w:rPr>
      </w:pPr>
      <w:r w:rsidRPr="00FA3473">
        <w:rPr>
          <w:rFonts w:ascii="Bookman Old Style" w:eastAsia="WarnockPro-Regular" w:hAnsi="Bookman Old Style" w:cs="WarnockPro-Regular"/>
          <w:sz w:val="27"/>
          <w:szCs w:val="27"/>
          <w:lang w:val="es-CO" w:eastAsia="en-US"/>
        </w:rPr>
        <w:t xml:space="preserve">Finalmente, </w:t>
      </w:r>
      <w:r w:rsidR="00365092" w:rsidRPr="00FA3473">
        <w:rPr>
          <w:rFonts w:ascii="Bookman Old Style" w:eastAsia="WarnockPro-Regular" w:hAnsi="Bookman Old Style" w:cs="WarnockPro-Regular"/>
          <w:sz w:val="27"/>
          <w:szCs w:val="27"/>
          <w:lang w:val="es-CO" w:eastAsia="en-US"/>
        </w:rPr>
        <w:t>para la Sala es claro que con la aplicación beneficiosa del parágrafo 1º del art. 307 d</w:t>
      </w:r>
      <w:r w:rsidR="00983BD4">
        <w:rPr>
          <w:rFonts w:ascii="Bookman Old Style" w:eastAsia="WarnockPro-Regular" w:hAnsi="Bookman Old Style" w:cs="WarnockPro-Regular"/>
          <w:sz w:val="27"/>
          <w:szCs w:val="27"/>
          <w:lang w:val="es-CO" w:eastAsia="en-US"/>
        </w:rPr>
        <w:t>e la Ley 906 de 2004, modificado</w:t>
      </w:r>
      <w:r w:rsidR="00365092" w:rsidRPr="00FA3473">
        <w:rPr>
          <w:rFonts w:ascii="Bookman Old Style" w:eastAsia="WarnockPro-Regular" w:hAnsi="Bookman Old Style" w:cs="WarnockPro-Regular"/>
          <w:sz w:val="27"/>
          <w:szCs w:val="27"/>
          <w:lang w:val="es-CO" w:eastAsia="en-US"/>
        </w:rPr>
        <w:t xml:space="preserve"> por el art. 1º de la Ley 1786 de 2016, a procesos penales tramitados por la Ley 600 de 2000 no se afecta la estructura del esquema procesal</w:t>
      </w:r>
      <w:r w:rsidR="009B2A6A">
        <w:rPr>
          <w:rFonts w:ascii="Bookman Old Style" w:eastAsia="WarnockPro-Regular" w:hAnsi="Bookman Old Style" w:cs="WarnockPro-Regular"/>
          <w:sz w:val="27"/>
          <w:szCs w:val="27"/>
          <w:lang w:val="es-CO" w:eastAsia="en-US"/>
        </w:rPr>
        <w:t xml:space="preserve"> diseñado en </w:t>
      </w:r>
      <w:r w:rsidR="00312A18">
        <w:rPr>
          <w:rFonts w:ascii="Bookman Old Style" w:eastAsia="WarnockPro-Regular" w:hAnsi="Bookman Old Style" w:cs="WarnockPro-Regular"/>
          <w:sz w:val="27"/>
          <w:szCs w:val="27"/>
          <w:lang w:val="es-CO" w:eastAsia="en-US"/>
        </w:rPr>
        <w:t xml:space="preserve">este último Código de Procedimiento Penal. </w:t>
      </w:r>
    </w:p>
    <w:p w:rsidR="00DC59A5" w:rsidRPr="00FA3473" w:rsidRDefault="00DC59A5" w:rsidP="00727F29">
      <w:pPr>
        <w:spacing w:line="336" w:lineRule="auto"/>
        <w:ind w:firstLine="705"/>
        <w:jc w:val="both"/>
        <w:rPr>
          <w:rFonts w:ascii="Bookman Old Style" w:eastAsia="WarnockPro-Regular" w:hAnsi="Bookman Old Style" w:cs="WarnockPro-Regular"/>
          <w:sz w:val="27"/>
          <w:szCs w:val="27"/>
          <w:lang w:val="es-CO" w:eastAsia="en-US"/>
        </w:rPr>
      </w:pPr>
    </w:p>
    <w:p w:rsidR="00D50965" w:rsidRDefault="00CA4C58" w:rsidP="00727F29">
      <w:pPr>
        <w:spacing w:line="336" w:lineRule="auto"/>
        <w:ind w:firstLine="705"/>
        <w:jc w:val="both"/>
        <w:rPr>
          <w:rFonts w:ascii="Bookman Old Style" w:eastAsia="WarnockPro-Regular" w:hAnsi="Bookman Old Style" w:cs="WarnockPro-Regular"/>
          <w:sz w:val="27"/>
          <w:szCs w:val="27"/>
          <w:lang w:val="es-CO" w:eastAsia="en-US"/>
        </w:rPr>
      </w:pPr>
      <w:r w:rsidRPr="00FA3473">
        <w:rPr>
          <w:rFonts w:ascii="Bookman Old Style" w:eastAsia="WarnockPro-Regular" w:hAnsi="Bookman Old Style" w:cs="WarnockPro-Regular"/>
          <w:sz w:val="27"/>
          <w:szCs w:val="27"/>
          <w:lang w:val="es-CO" w:eastAsia="en-US"/>
        </w:rPr>
        <w:lastRenderedPageBreak/>
        <w:t xml:space="preserve">En efecto, </w:t>
      </w:r>
      <w:r w:rsidR="009B4F08" w:rsidRPr="00FA3473">
        <w:rPr>
          <w:rFonts w:ascii="Bookman Old Style" w:eastAsia="WarnockPro-Regular" w:hAnsi="Bookman Old Style" w:cs="WarnockPro-Regular"/>
          <w:sz w:val="27"/>
          <w:szCs w:val="27"/>
          <w:lang w:val="es-CO" w:eastAsia="en-US"/>
        </w:rPr>
        <w:t xml:space="preserve">al tratarse de una medida cautelar, </w:t>
      </w:r>
      <w:r w:rsidR="009B4F08" w:rsidRPr="00FA3473">
        <w:rPr>
          <w:rFonts w:ascii="Bookman Old Style" w:eastAsia="WarnockPro-Regular" w:hAnsi="Bookman Old Style" w:cs="WarnockPro-Regular"/>
          <w:i/>
          <w:sz w:val="27"/>
          <w:szCs w:val="27"/>
          <w:lang w:val="es-CO" w:eastAsia="en-US"/>
        </w:rPr>
        <w:t>accesoria</w:t>
      </w:r>
      <w:r w:rsidR="009B4F08" w:rsidRPr="00FA3473">
        <w:rPr>
          <w:rFonts w:ascii="Bookman Old Style" w:eastAsia="WarnockPro-Regular" w:hAnsi="Bookman Old Style" w:cs="WarnockPro-Regular"/>
          <w:sz w:val="27"/>
          <w:szCs w:val="27"/>
          <w:lang w:val="es-CO" w:eastAsia="en-US"/>
        </w:rPr>
        <w:t xml:space="preserve"> al proceso, la aplicación de la detención preventiva de ninguna manera tiene que ver </w:t>
      </w:r>
      <w:r w:rsidR="00AC1B0F">
        <w:rPr>
          <w:rFonts w:ascii="Bookman Old Style" w:eastAsia="WarnockPro-Regular" w:hAnsi="Bookman Old Style" w:cs="WarnockPro-Regular"/>
          <w:sz w:val="27"/>
          <w:szCs w:val="27"/>
          <w:lang w:val="es-CO" w:eastAsia="en-US"/>
        </w:rPr>
        <w:t>con</w:t>
      </w:r>
      <w:r w:rsidR="009B4F08" w:rsidRPr="00FA3473">
        <w:rPr>
          <w:rFonts w:ascii="Bookman Old Style" w:eastAsia="WarnockPro-Regular" w:hAnsi="Bookman Old Style" w:cs="WarnockPro-Regular"/>
          <w:sz w:val="27"/>
          <w:szCs w:val="27"/>
          <w:lang w:val="es-CO" w:eastAsia="en-US"/>
        </w:rPr>
        <w:t xml:space="preserve"> los rasgos </w:t>
      </w:r>
      <w:r w:rsidR="009B4F08" w:rsidRPr="00526945">
        <w:rPr>
          <w:rFonts w:ascii="Bookman Old Style" w:eastAsia="WarnockPro-Regular" w:hAnsi="Bookman Old Style" w:cs="WarnockPro-Regular"/>
          <w:i/>
          <w:sz w:val="27"/>
          <w:szCs w:val="27"/>
          <w:lang w:val="es-CO" w:eastAsia="en-US"/>
        </w:rPr>
        <w:t>estructurales</w:t>
      </w:r>
      <w:r w:rsidR="009B4F08" w:rsidRPr="00FA3473">
        <w:rPr>
          <w:rFonts w:ascii="Bookman Old Style" w:eastAsia="WarnockPro-Regular" w:hAnsi="Bookman Old Style" w:cs="WarnockPro-Regular"/>
          <w:sz w:val="27"/>
          <w:szCs w:val="27"/>
          <w:lang w:val="es-CO" w:eastAsia="en-US"/>
        </w:rPr>
        <w:t xml:space="preserve"> que caracterizan el curso de la investigación y el juzgamiento</w:t>
      </w:r>
      <w:r w:rsidR="00D50965" w:rsidRPr="00FA3473">
        <w:rPr>
          <w:rFonts w:ascii="Bookman Old Style" w:eastAsia="WarnockPro-Regular" w:hAnsi="Bookman Old Style" w:cs="WarnockPro-Regular"/>
          <w:sz w:val="27"/>
          <w:szCs w:val="27"/>
          <w:lang w:val="es-CO" w:eastAsia="en-US"/>
        </w:rPr>
        <w:t xml:space="preserve"> en uno u otro esquema procesal. </w:t>
      </w:r>
      <w:r w:rsidR="00597974" w:rsidRPr="00FA3473">
        <w:rPr>
          <w:rFonts w:ascii="Bookman Old Style" w:eastAsia="WarnockPro-Regular" w:hAnsi="Bookman Old Style" w:cs="WarnockPro-Regular"/>
          <w:sz w:val="27"/>
          <w:szCs w:val="27"/>
          <w:lang w:val="es-CO" w:eastAsia="en-US"/>
        </w:rPr>
        <w:t xml:space="preserve">En el mejor lenguaje procesalista, la medida de aseguramiento tiene una naturaleza </w:t>
      </w:r>
      <w:r w:rsidR="00597974" w:rsidRPr="00FA3473">
        <w:rPr>
          <w:rFonts w:ascii="Bookman Old Style" w:eastAsia="WarnockPro-Regular" w:hAnsi="Bookman Old Style" w:cs="WarnockPro-Regular"/>
          <w:i/>
          <w:sz w:val="27"/>
          <w:szCs w:val="27"/>
          <w:lang w:val="es-CO" w:eastAsia="en-US"/>
        </w:rPr>
        <w:t>incidental</w:t>
      </w:r>
      <w:r w:rsidR="00597974" w:rsidRPr="00FA3473">
        <w:rPr>
          <w:rFonts w:ascii="Bookman Old Style" w:eastAsia="WarnockPro-Regular" w:hAnsi="Bookman Old Style" w:cs="WarnockPro-Regular"/>
          <w:sz w:val="27"/>
          <w:szCs w:val="27"/>
          <w:lang w:val="es-CO" w:eastAsia="en-US"/>
        </w:rPr>
        <w:t xml:space="preserve"> que difiere del objeto mismo del proceso penal </w:t>
      </w:r>
      <w:r w:rsidR="00597974" w:rsidRPr="00FA3473">
        <w:rPr>
          <w:rFonts w:ascii="Bookman Old Style" w:eastAsia="WarnockPro-Regular" w:hAnsi="Bookman Old Style" w:cs="WarnockPro-Regular"/>
          <w:sz w:val="25"/>
          <w:szCs w:val="25"/>
          <w:lang w:val="es-CO" w:eastAsia="en-US"/>
        </w:rPr>
        <w:t>-la determinación de la responsabilidad penal de un individuo-</w:t>
      </w:r>
      <w:r w:rsidR="00D50965" w:rsidRPr="00FA3473">
        <w:rPr>
          <w:rFonts w:ascii="Bookman Old Style" w:eastAsia="WarnockPro-Regular" w:hAnsi="Bookman Old Style" w:cs="WarnockPro-Regular"/>
          <w:sz w:val="27"/>
          <w:szCs w:val="27"/>
          <w:lang w:val="es-CO" w:eastAsia="en-US"/>
        </w:rPr>
        <w:t xml:space="preserve">. Es un apéndice, y por ello, su aplicación no está en capacidad de trastocar las bases fundamentales, características y diferenciadoras de un determinado modelo de enjuiciamiento penal. </w:t>
      </w:r>
    </w:p>
    <w:p w:rsidR="005E6EDD" w:rsidRPr="00FA3473" w:rsidRDefault="005E6EDD" w:rsidP="00727F29">
      <w:pPr>
        <w:spacing w:line="336" w:lineRule="auto"/>
        <w:ind w:firstLine="705"/>
        <w:jc w:val="both"/>
        <w:rPr>
          <w:rFonts w:ascii="Bookman Old Style" w:eastAsia="WarnockPro-Regular" w:hAnsi="Bookman Old Style" w:cs="WarnockPro-Regular"/>
          <w:sz w:val="27"/>
          <w:szCs w:val="27"/>
          <w:lang w:val="es-CO" w:eastAsia="en-US"/>
        </w:rPr>
      </w:pPr>
    </w:p>
    <w:p w:rsidR="002342D1" w:rsidRPr="00FA3473" w:rsidRDefault="002342D1" w:rsidP="00727F29">
      <w:pPr>
        <w:spacing w:line="336" w:lineRule="auto"/>
        <w:ind w:firstLine="705"/>
        <w:jc w:val="both"/>
        <w:rPr>
          <w:rFonts w:ascii="Bookman Old Style" w:eastAsia="WarnockPro-Regular" w:hAnsi="Bookman Old Style" w:cs="WarnockPro-Regular"/>
          <w:sz w:val="27"/>
          <w:szCs w:val="27"/>
          <w:lang w:val="es-CO" w:eastAsia="en-US"/>
        </w:rPr>
      </w:pPr>
      <w:r w:rsidRPr="00FA3473">
        <w:rPr>
          <w:rFonts w:ascii="Bookman Old Style" w:eastAsia="WarnockPro-Regular" w:hAnsi="Bookman Old Style" w:cs="WarnockPro-Regular"/>
          <w:sz w:val="27"/>
          <w:szCs w:val="27"/>
          <w:lang w:val="es-CO" w:eastAsia="en-US"/>
        </w:rPr>
        <w:t xml:space="preserve">Desde una perspectiva constitucional (art. 250-1), las medidas de aseguramiento sirven al logro de los cometidos asignados al </w:t>
      </w:r>
      <w:r w:rsidR="005E6EDD">
        <w:rPr>
          <w:rFonts w:ascii="Bookman Old Style" w:eastAsia="WarnockPro-Regular" w:hAnsi="Bookman Old Style" w:cs="WarnockPro-Regular"/>
          <w:sz w:val="27"/>
          <w:szCs w:val="27"/>
          <w:lang w:val="es-CO" w:eastAsia="en-US"/>
        </w:rPr>
        <w:t>derecho penal</w:t>
      </w:r>
      <w:r w:rsidRPr="00FA3473">
        <w:rPr>
          <w:rFonts w:ascii="Bookman Old Style" w:eastAsia="WarnockPro-Regular" w:hAnsi="Bookman Old Style" w:cs="WarnockPro-Regular"/>
          <w:sz w:val="27"/>
          <w:szCs w:val="27"/>
          <w:lang w:val="es-CO" w:eastAsia="en-US"/>
        </w:rPr>
        <w:t xml:space="preserve">, en tanto instrumento de protección </w:t>
      </w:r>
      <w:r w:rsidRPr="00FA3473">
        <w:rPr>
          <w:rFonts w:ascii="Bookman Old Style" w:eastAsia="WarnockPro-Regular" w:hAnsi="Bookman Old Style" w:cs="WarnockPro-Regular"/>
          <w:sz w:val="25"/>
          <w:szCs w:val="25"/>
          <w:lang w:val="es-CO" w:eastAsia="en-US"/>
        </w:rPr>
        <w:t>-de última ratio-</w:t>
      </w:r>
      <w:r w:rsidRPr="00FA3473">
        <w:rPr>
          <w:rFonts w:ascii="Bookman Old Style" w:eastAsia="WarnockPro-Regular" w:hAnsi="Bookman Old Style" w:cs="WarnockPro-Regular"/>
          <w:sz w:val="27"/>
          <w:szCs w:val="27"/>
          <w:lang w:val="es-CO" w:eastAsia="en-US"/>
        </w:rPr>
        <w:t xml:space="preserve"> de bienes jurídicos</w:t>
      </w:r>
      <w:r w:rsidR="00526945">
        <w:rPr>
          <w:rFonts w:ascii="Bookman Old Style" w:eastAsia="WarnockPro-Regular" w:hAnsi="Bookman Old Style" w:cs="WarnockPro-Regular"/>
          <w:sz w:val="27"/>
          <w:szCs w:val="27"/>
          <w:lang w:val="es-CO" w:eastAsia="en-US"/>
        </w:rPr>
        <w:t>,</w:t>
      </w:r>
      <w:r w:rsidRPr="00FA3473">
        <w:rPr>
          <w:rFonts w:ascii="Bookman Old Style" w:eastAsia="WarnockPro-Regular" w:hAnsi="Bookman Old Style" w:cs="WarnockPro-Regular"/>
          <w:sz w:val="27"/>
          <w:szCs w:val="27"/>
          <w:lang w:val="es-CO" w:eastAsia="en-US"/>
        </w:rPr>
        <w:t xml:space="preserve"> y persiguen, en concreto, el aseguramiento de la comparecencia al proceso, la conservación de la prueba y la protección de la comunidad. Es</w:t>
      </w:r>
      <w:r w:rsidR="00463616" w:rsidRPr="00FA3473">
        <w:rPr>
          <w:rFonts w:ascii="Bookman Old Style" w:eastAsia="WarnockPro-Regular" w:hAnsi="Bookman Old Style" w:cs="WarnockPro-Regular"/>
          <w:sz w:val="27"/>
          <w:szCs w:val="27"/>
          <w:lang w:val="es-CO" w:eastAsia="en-US"/>
        </w:rPr>
        <w:t xml:space="preserve">tas finalidades han de conseguirse al margen de las formas propias y la tendencia asignada a la </w:t>
      </w:r>
      <w:r w:rsidR="00463616" w:rsidRPr="00FA3473">
        <w:rPr>
          <w:rFonts w:ascii="Bookman Old Style" w:eastAsia="WarnockPro-Regular" w:hAnsi="Bookman Old Style" w:cs="WarnockPro-Regular"/>
          <w:i/>
          <w:sz w:val="27"/>
          <w:szCs w:val="27"/>
          <w:lang w:val="es-CO" w:eastAsia="en-US"/>
        </w:rPr>
        <w:t>investigación o al juzgamiento</w:t>
      </w:r>
      <w:r w:rsidR="00463616" w:rsidRPr="00FA3473">
        <w:rPr>
          <w:rFonts w:ascii="Bookman Old Style" w:eastAsia="WarnockPro-Regular" w:hAnsi="Bookman Old Style" w:cs="WarnockPro-Regular"/>
          <w:sz w:val="27"/>
          <w:szCs w:val="27"/>
          <w:lang w:val="es-CO" w:eastAsia="en-US"/>
        </w:rPr>
        <w:t xml:space="preserve">. </w:t>
      </w:r>
      <w:r w:rsidR="00AE4A24" w:rsidRPr="00FA3473">
        <w:rPr>
          <w:rFonts w:ascii="Bookman Old Style" w:eastAsia="WarnockPro-Regular" w:hAnsi="Bookman Old Style" w:cs="WarnockPro-Regular"/>
          <w:sz w:val="27"/>
          <w:szCs w:val="27"/>
          <w:lang w:val="es-CO" w:eastAsia="en-US"/>
        </w:rPr>
        <w:t xml:space="preserve">De ahí que la teleología asignada a la detención preventiva sea la misma en las Leyes 600 de 2000 (art. 355) y 906 de 2004 (art. 296). Lo que varía, entonces, es la regulación </w:t>
      </w:r>
      <w:r w:rsidR="00AE4A24" w:rsidRPr="00FA3473">
        <w:rPr>
          <w:rFonts w:ascii="Bookman Old Style" w:eastAsia="WarnockPro-Regular" w:hAnsi="Bookman Old Style" w:cs="WarnockPro-Regular"/>
          <w:i/>
          <w:sz w:val="27"/>
          <w:szCs w:val="27"/>
          <w:lang w:val="es-CO" w:eastAsia="en-US"/>
        </w:rPr>
        <w:t>específica</w:t>
      </w:r>
      <w:r w:rsidR="00AE4A24" w:rsidRPr="00FA3473">
        <w:rPr>
          <w:rFonts w:ascii="Bookman Old Style" w:eastAsia="WarnockPro-Regular" w:hAnsi="Bookman Old Style" w:cs="WarnockPro-Regular"/>
          <w:sz w:val="27"/>
          <w:szCs w:val="27"/>
          <w:lang w:val="es-CO" w:eastAsia="en-US"/>
        </w:rPr>
        <w:t xml:space="preserve"> de las medidas cautelares personales en una u otra codificación procesal penal. </w:t>
      </w:r>
    </w:p>
    <w:p w:rsidR="00AE4A24" w:rsidRPr="00FA3473" w:rsidRDefault="00AE4A24" w:rsidP="00727F29">
      <w:pPr>
        <w:spacing w:line="336" w:lineRule="auto"/>
        <w:ind w:firstLine="705"/>
        <w:jc w:val="both"/>
        <w:rPr>
          <w:rFonts w:ascii="Bookman Old Style" w:eastAsia="WarnockPro-Regular" w:hAnsi="Bookman Old Style" w:cs="WarnockPro-Regular"/>
          <w:sz w:val="27"/>
          <w:szCs w:val="27"/>
          <w:lang w:val="es-CO" w:eastAsia="en-US"/>
        </w:rPr>
      </w:pPr>
    </w:p>
    <w:p w:rsidR="00AE4A24" w:rsidRPr="00FA3473" w:rsidRDefault="008B3777" w:rsidP="00727F29">
      <w:pPr>
        <w:spacing w:line="336" w:lineRule="auto"/>
        <w:ind w:firstLine="705"/>
        <w:jc w:val="both"/>
        <w:rPr>
          <w:rFonts w:ascii="Bookman Old Style" w:eastAsia="WarnockPro-Regular" w:hAnsi="Bookman Old Style" w:cs="WarnockPro-Regular"/>
          <w:sz w:val="27"/>
          <w:szCs w:val="27"/>
          <w:lang w:val="es-CO" w:eastAsia="en-US"/>
        </w:rPr>
      </w:pPr>
      <w:r w:rsidRPr="00FA3473">
        <w:rPr>
          <w:rFonts w:ascii="Bookman Old Style" w:eastAsia="WarnockPro-Regular" w:hAnsi="Bookman Old Style" w:cs="WarnockPro-Regular"/>
          <w:sz w:val="27"/>
          <w:szCs w:val="27"/>
          <w:lang w:val="es-CO" w:eastAsia="en-US"/>
        </w:rPr>
        <w:t>Y dentro de esa regulación, como se expuso en precedencia</w:t>
      </w:r>
      <w:r w:rsidR="007F1A27" w:rsidRPr="00FA3473">
        <w:rPr>
          <w:rFonts w:ascii="Bookman Old Style" w:eastAsia="WarnockPro-Regular" w:hAnsi="Bookman Old Style" w:cs="WarnockPro-Regular"/>
          <w:sz w:val="27"/>
          <w:szCs w:val="27"/>
          <w:lang w:val="es-CO" w:eastAsia="en-US"/>
        </w:rPr>
        <w:t xml:space="preserve"> (cfr. nums. 3.1</w:t>
      </w:r>
      <w:r w:rsidR="004F0711">
        <w:rPr>
          <w:rFonts w:ascii="Bookman Old Style" w:eastAsia="WarnockPro-Regular" w:hAnsi="Bookman Old Style" w:cs="WarnockPro-Regular"/>
          <w:sz w:val="27"/>
          <w:szCs w:val="27"/>
          <w:lang w:val="es-CO" w:eastAsia="en-US"/>
        </w:rPr>
        <w:t>.1</w:t>
      </w:r>
      <w:r w:rsidR="007F1A27" w:rsidRPr="00FA3473">
        <w:rPr>
          <w:rFonts w:ascii="Bookman Old Style" w:eastAsia="WarnockPro-Regular" w:hAnsi="Bookman Old Style" w:cs="WarnockPro-Regular"/>
          <w:sz w:val="27"/>
          <w:szCs w:val="27"/>
          <w:lang w:val="es-CO" w:eastAsia="en-US"/>
        </w:rPr>
        <w:t xml:space="preserve"> y </w:t>
      </w:r>
      <w:r w:rsidR="004F0711">
        <w:rPr>
          <w:rFonts w:ascii="Bookman Old Style" w:eastAsia="WarnockPro-Regular" w:hAnsi="Bookman Old Style" w:cs="WarnockPro-Regular"/>
          <w:sz w:val="27"/>
          <w:szCs w:val="27"/>
          <w:lang w:val="es-CO" w:eastAsia="en-US"/>
        </w:rPr>
        <w:t>3.1.2</w:t>
      </w:r>
      <w:r w:rsidR="007F1A27" w:rsidRPr="00FA3473">
        <w:rPr>
          <w:rFonts w:ascii="Bookman Old Style" w:eastAsia="WarnockPro-Regular" w:hAnsi="Bookman Old Style" w:cs="WarnockPro-Regular"/>
          <w:sz w:val="27"/>
          <w:szCs w:val="27"/>
          <w:lang w:val="es-CO" w:eastAsia="en-US"/>
        </w:rPr>
        <w:t xml:space="preserve"> </w:t>
      </w:r>
      <w:r w:rsidR="007F1A27" w:rsidRPr="00FA3473">
        <w:rPr>
          <w:rFonts w:ascii="Bookman Old Style" w:eastAsia="WarnockPro-Regular" w:hAnsi="Bookman Old Style" w:cs="WarnockPro-Regular"/>
          <w:i/>
          <w:sz w:val="27"/>
          <w:szCs w:val="27"/>
          <w:lang w:val="es-CO" w:eastAsia="en-US"/>
        </w:rPr>
        <w:t>supra</w:t>
      </w:r>
      <w:r w:rsidR="007F1A27" w:rsidRPr="00FA3473">
        <w:rPr>
          <w:rFonts w:ascii="Bookman Old Style" w:eastAsia="WarnockPro-Regular" w:hAnsi="Bookman Old Style" w:cs="WarnockPro-Regular"/>
          <w:sz w:val="27"/>
          <w:szCs w:val="27"/>
          <w:lang w:val="es-CO" w:eastAsia="en-US"/>
        </w:rPr>
        <w:t>)</w:t>
      </w:r>
      <w:r w:rsidRPr="00FA3473">
        <w:rPr>
          <w:rFonts w:ascii="Bookman Old Style" w:eastAsia="WarnockPro-Regular" w:hAnsi="Bookman Old Style" w:cs="WarnockPro-Regular"/>
          <w:sz w:val="27"/>
          <w:szCs w:val="27"/>
          <w:lang w:val="es-CO" w:eastAsia="en-US"/>
        </w:rPr>
        <w:t xml:space="preserve">, </w:t>
      </w:r>
      <w:r w:rsidR="007F1A27" w:rsidRPr="00FA3473">
        <w:rPr>
          <w:rFonts w:ascii="Bookman Old Style" w:eastAsia="WarnockPro-Regular" w:hAnsi="Bookman Old Style" w:cs="WarnockPro-Regular"/>
          <w:sz w:val="27"/>
          <w:szCs w:val="27"/>
          <w:lang w:val="es-CO" w:eastAsia="en-US"/>
        </w:rPr>
        <w:t xml:space="preserve">el </w:t>
      </w:r>
      <w:r w:rsidR="007F1A27" w:rsidRPr="00FA3473">
        <w:rPr>
          <w:rFonts w:ascii="Bookman Old Style" w:eastAsia="WarnockPro-Regular" w:hAnsi="Bookman Old Style" w:cs="WarnockPro-Regular"/>
          <w:sz w:val="27"/>
          <w:szCs w:val="27"/>
          <w:lang w:val="es-CO" w:eastAsia="en-US"/>
        </w:rPr>
        <w:lastRenderedPageBreak/>
        <w:t xml:space="preserve">establecimiento de un límite máximo de vigencia de la detención es manifestación de la garantía fundamental y derecho humano a ser juzgado dentro de un plazo razonable o ser puesto en libertad. </w:t>
      </w:r>
      <w:r w:rsidR="00BE5651" w:rsidRPr="00FA3473">
        <w:rPr>
          <w:rFonts w:ascii="Bookman Old Style" w:eastAsia="WarnockPro-Regular" w:hAnsi="Bookman Old Style" w:cs="WarnockPro-Regular"/>
          <w:sz w:val="27"/>
          <w:szCs w:val="27"/>
          <w:lang w:val="es-CO" w:eastAsia="en-US"/>
        </w:rPr>
        <w:t>Po</w:t>
      </w:r>
      <w:r w:rsidR="00732EED" w:rsidRPr="00FA3473">
        <w:rPr>
          <w:rFonts w:ascii="Bookman Old Style" w:eastAsia="WarnockPro-Regular" w:hAnsi="Bookman Old Style" w:cs="WarnockPro-Regular"/>
          <w:sz w:val="27"/>
          <w:szCs w:val="27"/>
          <w:lang w:val="es-CO" w:eastAsia="en-US"/>
        </w:rPr>
        <w:t xml:space="preserve">r consiguiente, </w:t>
      </w:r>
      <w:r w:rsidR="00BE5651" w:rsidRPr="00FA3473">
        <w:rPr>
          <w:rFonts w:ascii="Bookman Old Style" w:eastAsia="WarnockPro-Regular" w:hAnsi="Bookman Old Style" w:cs="WarnockPro-Regular"/>
          <w:sz w:val="27"/>
          <w:szCs w:val="27"/>
          <w:lang w:val="es-CO" w:eastAsia="en-US"/>
        </w:rPr>
        <w:t xml:space="preserve">debiendo hacer parte del </w:t>
      </w:r>
      <w:r w:rsidR="00BE5651" w:rsidRPr="005B1349">
        <w:rPr>
          <w:rFonts w:ascii="Bookman Old Style" w:eastAsia="WarnockPro-Regular" w:hAnsi="Bookman Old Style" w:cs="WarnockPro-Regular"/>
          <w:i/>
          <w:sz w:val="27"/>
          <w:szCs w:val="27"/>
          <w:lang w:val="es-CO" w:eastAsia="en-US"/>
        </w:rPr>
        <w:t>debido proceso</w:t>
      </w:r>
      <w:r w:rsidR="00BE5651" w:rsidRPr="00FA3473">
        <w:rPr>
          <w:rFonts w:ascii="Bookman Old Style" w:eastAsia="WarnockPro-Regular" w:hAnsi="Bookman Old Style" w:cs="WarnockPro-Regular"/>
          <w:sz w:val="27"/>
          <w:szCs w:val="27"/>
          <w:lang w:val="es-CO" w:eastAsia="en-US"/>
        </w:rPr>
        <w:t xml:space="preserve"> </w:t>
      </w:r>
      <w:r w:rsidR="00BE5651" w:rsidRPr="00FA3473">
        <w:rPr>
          <w:rFonts w:ascii="Bookman Old Style" w:eastAsia="WarnockPro-Regular" w:hAnsi="Bookman Old Style" w:cs="WarnockPro-Regular"/>
          <w:i/>
          <w:sz w:val="27"/>
          <w:szCs w:val="27"/>
          <w:lang w:val="es-CO" w:eastAsia="en-US"/>
        </w:rPr>
        <w:t>cautelar</w:t>
      </w:r>
      <w:r w:rsidR="00BE5651" w:rsidRPr="00FA3473">
        <w:rPr>
          <w:rFonts w:ascii="Bookman Old Style" w:eastAsia="WarnockPro-Regular" w:hAnsi="Bookman Old Style" w:cs="WarnockPro-Regular"/>
          <w:sz w:val="27"/>
          <w:szCs w:val="27"/>
          <w:lang w:val="es-CO" w:eastAsia="en-US"/>
        </w:rPr>
        <w:t xml:space="preserve">, la norma que fija ese plazo y asigna una consecuencia jurídica a su incumplimiento </w:t>
      </w:r>
      <w:r w:rsidR="000A4120">
        <w:rPr>
          <w:rFonts w:ascii="Bookman Old Style" w:eastAsia="WarnockPro-Regular" w:hAnsi="Bookman Old Style" w:cs="WarnockPro-Regular"/>
          <w:sz w:val="27"/>
          <w:szCs w:val="27"/>
          <w:lang w:val="es-CO" w:eastAsia="en-US"/>
        </w:rPr>
        <w:t xml:space="preserve">no </w:t>
      </w:r>
      <w:r w:rsidR="00BE5651" w:rsidRPr="00FA3473">
        <w:rPr>
          <w:rFonts w:ascii="Bookman Old Style" w:eastAsia="WarnockPro-Regular" w:hAnsi="Bookman Old Style" w:cs="WarnockPro-Regular"/>
          <w:sz w:val="27"/>
          <w:szCs w:val="27"/>
          <w:lang w:val="es-CO" w:eastAsia="en-US"/>
        </w:rPr>
        <w:t xml:space="preserve">es una institución propia o privativa del esquema de investigación y juzgamiento </w:t>
      </w:r>
      <w:r w:rsidR="005E7252">
        <w:rPr>
          <w:rFonts w:ascii="Bookman Old Style" w:eastAsia="WarnockPro-Regular" w:hAnsi="Bookman Old Style" w:cs="WarnockPro-Regular"/>
          <w:i/>
          <w:sz w:val="27"/>
          <w:szCs w:val="27"/>
          <w:lang w:val="es-CO" w:eastAsia="en-US"/>
        </w:rPr>
        <w:t xml:space="preserve">acusatorio-adversarial </w:t>
      </w:r>
      <w:r w:rsidR="00BE5651" w:rsidRPr="00FA3473">
        <w:rPr>
          <w:rFonts w:ascii="Bookman Old Style" w:eastAsia="WarnockPro-Regular" w:hAnsi="Bookman Old Style" w:cs="WarnockPro-Regular"/>
          <w:sz w:val="27"/>
          <w:szCs w:val="27"/>
          <w:lang w:val="es-CO" w:eastAsia="en-US"/>
        </w:rPr>
        <w:t xml:space="preserve">desarrollado por la Ley 906 de 2004, por lo que su aplicación retroactiva a situaciones gobernadas por la Ley 600 de 2000 de ninguna manera resquebraja </w:t>
      </w:r>
      <w:r w:rsidR="00F5571D" w:rsidRPr="00FA3473">
        <w:rPr>
          <w:rFonts w:ascii="Bookman Old Style" w:eastAsia="WarnockPro-Regular" w:hAnsi="Bookman Old Style" w:cs="WarnockPro-Regular"/>
          <w:sz w:val="27"/>
          <w:szCs w:val="27"/>
          <w:lang w:val="es-CO" w:eastAsia="en-US"/>
        </w:rPr>
        <w:t>el “</w:t>
      </w:r>
      <w:r w:rsidR="005E7252">
        <w:rPr>
          <w:rFonts w:ascii="Bookman Old Style" w:eastAsia="WarnockPro-Regular" w:hAnsi="Bookman Old Style" w:cs="WarnockPro-Regular"/>
          <w:i/>
          <w:sz w:val="27"/>
          <w:szCs w:val="27"/>
          <w:lang w:val="es-CO" w:eastAsia="en-US"/>
        </w:rPr>
        <w:t>sistema mixto”</w:t>
      </w:r>
      <w:r w:rsidR="00F5571D" w:rsidRPr="00FA3473">
        <w:rPr>
          <w:rFonts w:ascii="Bookman Old Style" w:eastAsia="WarnockPro-Regular" w:hAnsi="Bookman Old Style" w:cs="WarnockPro-Regular"/>
          <w:i/>
          <w:sz w:val="27"/>
          <w:szCs w:val="27"/>
          <w:lang w:val="es-CO" w:eastAsia="en-US"/>
        </w:rPr>
        <w:t xml:space="preserve"> </w:t>
      </w:r>
      <w:r w:rsidR="00916001" w:rsidRPr="00FA3473">
        <w:rPr>
          <w:rFonts w:ascii="Bookman Old Style" w:eastAsia="WarnockPro-Regular" w:hAnsi="Bookman Old Style" w:cs="WarnockPro-Regular"/>
          <w:sz w:val="27"/>
          <w:szCs w:val="27"/>
          <w:lang w:val="es-CO" w:eastAsia="en-US"/>
        </w:rPr>
        <w:t xml:space="preserve">previsto en </w:t>
      </w:r>
      <w:r w:rsidR="005E7252">
        <w:rPr>
          <w:rFonts w:ascii="Bookman Old Style" w:eastAsia="WarnockPro-Regular" w:hAnsi="Bookman Old Style" w:cs="WarnockPro-Regular"/>
          <w:sz w:val="27"/>
          <w:szCs w:val="27"/>
          <w:lang w:val="es-CO" w:eastAsia="en-US"/>
        </w:rPr>
        <w:t xml:space="preserve">esta última </w:t>
      </w:r>
      <w:r w:rsidR="00916001" w:rsidRPr="00FA3473">
        <w:rPr>
          <w:rFonts w:ascii="Bookman Old Style" w:eastAsia="WarnockPro-Regular" w:hAnsi="Bookman Old Style" w:cs="WarnockPro-Regular"/>
          <w:sz w:val="27"/>
          <w:szCs w:val="27"/>
          <w:lang w:val="es-CO" w:eastAsia="en-US"/>
        </w:rPr>
        <w:t xml:space="preserve">codificación. </w:t>
      </w:r>
    </w:p>
    <w:p w:rsidR="00023069" w:rsidRPr="00FA3473" w:rsidRDefault="00023069" w:rsidP="00727F29">
      <w:pPr>
        <w:spacing w:line="336" w:lineRule="auto"/>
        <w:ind w:firstLine="705"/>
        <w:jc w:val="both"/>
        <w:rPr>
          <w:rFonts w:ascii="Bookman Old Style" w:eastAsia="WarnockPro-Regular" w:hAnsi="Bookman Old Style" w:cs="WarnockPro-Regular"/>
          <w:sz w:val="27"/>
          <w:szCs w:val="27"/>
          <w:lang w:val="es-CO" w:eastAsia="en-US"/>
        </w:rPr>
      </w:pPr>
    </w:p>
    <w:p w:rsidR="00D93816" w:rsidRDefault="00023069" w:rsidP="00727F29">
      <w:pPr>
        <w:spacing w:line="336" w:lineRule="auto"/>
        <w:ind w:firstLine="705"/>
        <w:jc w:val="both"/>
        <w:rPr>
          <w:rFonts w:ascii="Bookman Old Style" w:eastAsia="WarnockPro-Regular" w:hAnsi="Bookman Old Style" w:cs="WarnockPro-Regular"/>
          <w:sz w:val="27"/>
          <w:szCs w:val="27"/>
          <w:lang w:val="es-CO" w:eastAsia="en-US"/>
        </w:rPr>
      </w:pPr>
      <w:r w:rsidRPr="00FA3473">
        <w:rPr>
          <w:rFonts w:ascii="Bookman Old Style" w:eastAsia="WarnockPro-Regular" w:hAnsi="Bookman Old Style" w:cs="WarnockPro-Regular"/>
          <w:sz w:val="27"/>
          <w:szCs w:val="27"/>
          <w:lang w:val="es-CO" w:eastAsia="en-US"/>
        </w:rPr>
        <w:t xml:space="preserve">De suerte que, por las anteriores razones, el parágrafo 1º del art. 307 de la Ley 906 de 2004, modificado por el art. 1º de la Ley 1786 de 2016, es del todo aplicable a procesos regidos por la Ley 600 de 2000. Por tratarse de un derecho fundamental de toda persona investigada o juzgada penalmente con privación de su libertad personal, </w:t>
      </w:r>
      <w:r w:rsidRPr="00FA3473">
        <w:rPr>
          <w:rFonts w:ascii="Bookman Old Style" w:eastAsia="WarnockPro-Regular" w:hAnsi="Bookman Old Style" w:cs="WarnockPro-Regular"/>
          <w:i/>
          <w:sz w:val="27"/>
          <w:szCs w:val="27"/>
          <w:lang w:val="es-CO" w:eastAsia="en-US"/>
        </w:rPr>
        <w:t>los plazos</w:t>
      </w:r>
      <w:r w:rsidRPr="00FA3473">
        <w:rPr>
          <w:rFonts w:ascii="Bookman Old Style" w:eastAsia="WarnockPro-Regular" w:hAnsi="Bookman Old Style" w:cs="WarnockPro-Regular"/>
          <w:sz w:val="27"/>
          <w:szCs w:val="27"/>
          <w:lang w:val="es-CO" w:eastAsia="en-US"/>
        </w:rPr>
        <w:t xml:space="preserve"> establecidos en la norma rigen para </w:t>
      </w:r>
      <w:r w:rsidR="00D93816">
        <w:rPr>
          <w:rFonts w:ascii="Bookman Old Style" w:eastAsia="WarnockPro-Regular" w:hAnsi="Bookman Old Style" w:cs="WarnockPro-Regular"/>
          <w:sz w:val="27"/>
          <w:szCs w:val="27"/>
          <w:lang w:val="es-CO" w:eastAsia="en-US"/>
        </w:rPr>
        <w:t xml:space="preserve">ambos procedimientos. </w:t>
      </w:r>
    </w:p>
    <w:p w:rsidR="00023069" w:rsidRPr="00FA3473" w:rsidRDefault="00023069" w:rsidP="00727F29">
      <w:pPr>
        <w:spacing w:line="336" w:lineRule="auto"/>
        <w:ind w:firstLine="705"/>
        <w:jc w:val="both"/>
        <w:rPr>
          <w:rFonts w:ascii="Bookman Old Style" w:eastAsia="WarnockPro-Regular" w:hAnsi="Bookman Old Style" w:cs="WarnockPro-Regular"/>
          <w:sz w:val="27"/>
          <w:szCs w:val="27"/>
          <w:lang w:val="es-CO" w:eastAsia="en-US"/>
        </w:rPr>
      </w:pPr>
    </w:p>
    <w:p w:rsidR="001D2EDB" w:rsidRPr="00FA3473" w:rsidRDefault="00023069" w:rsidP="00727F29">
      <w:pPr>
        <w:spacing w:line="336" w:lineRule="auto"/>
        <w:ind w:firstLine="705"/>
        <w:jc w:val="both"/>
        <w:rPr>
          <w:rFonts w:ascii="Bookman Old Style" w:eastAsia="WarnockPro-Regular" w:hAnsi="Bookman Old Style" w:cs="WarnockPro-Regular"/>
          <w:sz w:val="27"/>
          <w:szCs w:val="27"/>
          <w:lang w:val="es-CO" w:eastAsia="en-US"/>
        </w:rPr>
      </w:pPr>
      <w:r w:rsidRPr="00FA3473">
        <w:rPr>
          <w:rFonts w:ascii="Bookman Old Style" w:eastAsia="WarnockPro-Regular" w:hAnsi="Bookman Old Style" w:cs="WarnockPro-Regular"/>
          <w:sz w:val="27"/>
          <w:szCs w:val="27"/>
          <w:lang w:val="es-CO" w:eastAsia="en-US"/>
        </w:rPr>
        <w:t xml:space="preserve">Ahora, si bien la referida norma menciona al juez de control de garantías como competente para sustituir la medida de aseguramiento por vencimiento del término máximo de vigencia de la detención preventiva, ello no es razón suficiente para predicar la imposibilidad de aplicación retroactiva a procesos tramitados por la Ley 600 de 2000. </w:t>
      </w:r>
      <w:r w:rsidR="004B1F20" w:rsidRPr="00FA3473">
        <w:rPr>
          <w:rFonts w:ascii="Bookman Old Style" w:eastAsia="WarnockPro-Regular" w:hAnsi="Bookman Old Style" w:cs="WarnockPro-Regular"/>
          <w:sz w:val="27"/>
          <w:szCs w:val="27"/>
          <w:lang w:val="es-CO" w:eastAsia="en-US"/>
        </w:rPr>
        <w:t xml:space="preserve">La competencia recaerá, según la fase procesal, en el </w:t>
      </w:r>
      <w:r w:rsidR="00F842CE" w:rsidRPr="00FA3473">
        <w:rPr>
          <w:rFonts w:ascii="Bookman Old Style" w:eastAsia="WarnockPro-Regular" w:hAnsi="Bookman Old Style" w:cs="WarnockPro-Regular"/>
          <w:sz w:val="27"/>
          <w:szCs w:val="27"/>
          <w:lang w:val="es-CO" w:eastAsia="en-US"/>
        </w:rPr>
        <w:t xml:space="preserve">fiscal o en el </w:t>
      </w:r>
      <w:r w:rsidR="004B1F20" w:rsidRPr="00FA3473">
        <w:rPr>
          <w:rFonts w:ascii="Bookman Old Style" w:eastAsia="WarnockPro-Regular" w:hAnsi="Bookman Old Style" w:cs="WarnockPro-Regular"/>
          <w:sz w:val="27"/>
          <w:szCs w:val="27"/>
          <w:lang w:val="es-CO" w:eastAsia="en-US"/>
        </w:rPr>
        <w:t>juez de la causa</w:t>
      </w:r>
      <w:r w:rsidR="00D374F6" w:rsidRPr="00FA3473">
        <w:rPr>
          <w:rFonts w:ascii="Bookman Old Style" w:eastAsia="WarnockPro-Regular" w:hAnsi="Bookman Old Style" w:cs="WarnockPro-Regular"/>
          <w:sz w:val="27"/>
          <w:szCs w:val="27"/>
          <w:lang w:val="es-CO" w:eastAsia="en-US"/>
        </w:rPr>
        <w:t xml:space="preserve">. </w:t>
      </w:r>
    </w:p>
    <w:p w:rsidR="00023069" w:rsidRPr="00FA3473" w:rsidRDefault="001D2EDB" w:rsidP="00727F29">
      <w:pPr>
        <w:spacing w:line="336" w:lineRule="auto"/>
        <w:ind w:firstLine="705"/>
        <w:jc w:val="both"/>
        <w:rPr>
          <w:rFonts w:ascii="Bookman Old Style" w:eastAsia="WarnockPro-Regular" w:hAnsi="Bookman Old Style" w:cs="WarnockPro-Regular"/>
          <w:sz w:val="27"/>
          <w:szCs w:val="27"/>
          <w:lang w:val="es-CO" w:eastAsia="en-US"/>
        </w:rPr>
      </w:pPr>
      <w:r w:rsidRPr="00FA3473">
        <w:rPr>
          <w:rFonts w:ascii="Bookman Old Style" w:eastAsia="WarnockPro-Regular" w:hAnsi="Bookman Old Style" w:cs="WarnockPro-Regular"/>
          <w:sz w:val="26"/>
          <w:szCs w:val="26"/>
          <w:lang w:val="es-CO" w:eastAsia="en-US"/>
        </w:rPr>
        <w:lastRenderedPageBreak/>
        <w:t xml:space="preserve">De otro lado, </w:t>
      </w:r>
      <w:r w:rsidR="0087161B" w:rsidRPr="00FA3473">
        <w:rPr>
          <w:rFonts w:ascii="Bookman Old Style" w:eastAsia="WarnockPro-Regular" w:hAnsi="Bookman Old Style" w:cs="WarnockPro-Regular"/>
          <w:sz w:val="26"/>
          <w:szCs w:val="26"/>
          <w:lang w:val="es-CO" w:eastAsia="en-US"/>
        </w:rPr>
        <w:t xml:space="preserve">la inexistencia de medidas de aseguramiento no privativas de la libertad en la Ley 600 de 2000 (art. 356 inc. 1º) tampoco es óbice para </w:t>
      </w:r>
      <w:r w:rsidR="0040533B" w:rsidRPr="00FA3473">
        <w:rPr>
          <w:rFonts w:ascii="Bookman Old Style" w:eastAsia="WarnockPro-Regular" w:hAnsi="Bookman Old Style" w:cs="WarnockPro-Regular"/>
          <w:sz w:val="26"/>
          <w:szCs w:val="26"/>
          <w:lang w:val="es-CO" w:eastAsia="en-US"/>
        </w:rPr>
        <w:t>impedir la limitación de la vigencia de la detención preventiva</w:t>
      </w:r>
      <w:r w:rsidR="0040533B" w:rsidRPr="00FA3473">
        <w:rPr>
          <w:rFonts w:ascii="Bookman Old Style" w:eastAsia="WarnockPro-Regular" w:hAnsi="Bookman Old Style" w:cs="WarnockPro-Regular"/>
          <w:sz w:val="27"/>
          <w:szCs w:val="27"/>
          <w:lang w:val="es-CO" w:eastAsia="en-US"/>
        </w:rPr>
        <w:t xml:space="preserve"> </w:t>
      </w:r>
      <w:r w:rsidR="0040533B" w:rsidRPr="00FA3473">
        <w:rPr>
          <w:rFonts w:ascii="Bookman Old Style" w:eastAsia="WarnockPro-Regular" w:hAnsi="Bookman Old Style" w:cs="WarnockPro-Regular"/>
          <w:sz w:val="25"/>
          <w:szCs w:val="25"/>
          <w:lang w:val="es-CO" w:eastAsia="en-US"/>
        </w:rPr>
        <w:t>-establecida en la Ley 906 de 2004-</w:t>
      </w:r>
      <w:r w:rsidR="0040533B" w:rsidRPr="00FA3473">
        <w:rPr>
          <w:rFonts w:ascii="Bookman Old Style" w:eastAsia="WarnockPro-Regular" w:hAnsi="Bookman Old Style" w:cs="WarnockPro-Regular"/>
          <w:sz w:val="27"/>
          <w:szCs w:val="27"/>
          <w:lang w:val="es-CO" w:eastAsia="en-US"/>
        </w:rPr>
        <w:t xml:space="preserve"> en dicha codificación. </w:t>
      </w:r>
      <w:r w:rsidR="008563D8" w:rsidRPr="00FA3473">
        <w:rPr>
          <w:rFonts w:ascii="Bookman Old Style" w:eastAsia="WarnockPro-Regular" w:hAnsi="Bookman Old Style" w:cs="WarnockPro-Regular"/>
          <w:sz w:val="27"/>
          <w:szCs w:val="27"/>
          <w:lang w:val="es-CO" w:eastAsia="en-US"/>
        </w:rPr>
        <w:t xml:space="preserve">Al respecto, también la Corte tiene definido que, en virtud del principio de favorabilidad, es dable aplicar las medidas de aseguramiento previstas en el art. 307 lit. b) de la Ley 906 de 2004 a procesados investigados o juzgados bajo los ritos procesales de la Ley 600 de 2000 </w:t>
      </w:r>
      <w:r w:rsidR="008563D8" w:rsidRPr="00FA3473">
        <w:rPr>
          <w:rFonts w:ascii="Bookman Old Style" w:eastAsia="WarnockPro-Regular" w:hAnsi="Bookman Old Style" w:cs="WarnockPro-Regular"/>
          <w:sz w:val="25"/>
          <w:szCs w:val="25"/>
          <w:lang w:val="es-CO" w:eastAsia="en-US"/>
        </w:rPr>
        <w:t xml:space="preserve">(cfr. entre otras CSJ </w:t>
      </w:r>
      <w:r w:rsidR="00674DCC" w:rsidRPr="00FA3473">
        <w:rPr>
          <w:rFonts w:ascii="Bookman Old Style" w:eastAsia="WarnockPro-Regular" w:hAnsi="Bookman Old Style" w:cs="WarnockPro-Regular"/>
          <w:sz w:val="25"/>
          <w:szCs w:val="25"/>
          <w:lang w:val="es-CO" w:eastAsia="en-US"/>
        </w:rPr>
        <w:t>AP 10 oct. 2012, rad. 29.726)</w:t>
      </w:r>
      <w:r w:rsidR="00674DCC" w:rsidRPr="00FA3473">
        <w:rPr>
          <w:rFonts w:ascii="Bookman Old Style" w:eastAsia="WarnockPro-Regular" w:hAnsi="Bookman Old Style" w:cs="WarnockPro-Regular"/>
          <w:sz w:val="27"/>
          <w:szCs w:val="27"/>
          <w:lang w:val="es-CO" w:eastAsia="en-US"/>
        </w:rPr>
        <w:t xml:space="preserve">. </w:t>
      </w:r>
    </w:p>
    <w:p w:rsidR="00674DCC" w:rsidRPr="00FA3473" w:rsidRDefault="00674DCC" w:rsidP="00727F29">
      <w:pPr>
        <w:spacing w:line="336" w:lineRule="auto"/>
        <w:ind w:firstLine="705"/>
        <w:jc w:val="both"/>
        <w:rPr>
          <w:rFonts w:ascii="Bookman Old Style" w:eastAsia="WarnockPro-Regular" w:hAnsi="Bookman Old Style" w:cs="WarnockPro-Regular"/>
          <w:sz w:val="27"/>
          <w:szCs w:val="27"/>
          <w:lang w:val="es-CO" w:eastAsia="en-US"/>
        </w:rPr>
      </w:pPr>
    </w:p>
    <w:p w:rsidR="00674DCC" w:rsidRPr="00FA3473" w:rsidRDefault="00674DCC" w:rsidP="00727F29">
      <w:pPr>
        <w:spacing w:line="336" w:lineRule="auto"/>
        <w:ind w:firstLine="705"/>
        <w:jc w:val="both"/>
        <w:rPr>
          <w:rFonts w:ascii="Bookman Old Style" w:eastAsia="WarnockPro-Regular" w:hAnsi="Bookman Old Style" w:cs="WarnockPro-Regular"/>
          <w:sz w:val="27"/>
          <w:szCs w:val="27"/>
          <w:lang w:val="es-CO" w:eastAsia="en-US"/>
        </w:rPr>
      </w:pPr>
      <w:r w:rsidRPr="00FA3473">
        <w:rPr>
          <w:rFonts w:ascii="Bookman Old Style" w:eastAsia="WarnockPro-Regular" w:hAnsi="Bookman Old Style" w:cs="WarnockPro-Regular"/>
          <w:sz w:val="27"/>
          <w:szCs w:val="27"/>
          <w:lang w:val="es-CO" w:eastAsia="en-US"/>
        </w:rPr>
        <w:t xml:space="preserve">Tampoco, valga precisar de cara a los reproches elevados por la parte civil en contra de la solicitud bajo estudio, </w:t>
      </w:r>
      <w:r w:rsidR="00696628" w:rsidRPr="00FA3473">
        <w:rPr>
          <w:rFonts w:ascii="Bookman Old Style" w:eastAsia="WarnockPro-Regular" w:hAnsi="Bookman Old Style" w:cs="WarnockPro-Regular"/>
          <w:sz w:val="27"/>
          <w:szCs w:val="27"/>
          <w:lang w:val="es-CO" w:eastAsia="en-US"/>
        </w:rPr>
        <w:t xml:space="preserve">puede negarse la aplicabilidad por favorabilidad de la plurimencionada norma con base en cuestionamientos a la diferente regulación de las causales de libertad provisional por vencimiento de términos </w:t>
      </w:r>
      <w:r w:rsidR="00696628" w:rsidRPr="00FA3473">
        <w:rPr>
          <w:rFonts w:ascii="Bookman Old Style" w:eastAsia="WarnockPro-Regular" w:hAnsi="Bookman Old Style" w:cs="WarnockPro-Regular"/>
          <w:i/>
          <w:sz w:val="27"/>
          <w:szCs w:val="27"/>
          <w:lang w:val="es-CO" w:eastAsia="en-US"/>
        </w:rPr>
        <w:t xml:space="preserve">en el juicio </w:t>
      </w:r>
      <w:r w:rsidR="00222E01" w:rsidRPr="00FA3473">
        <w:rPr>
          <w:rFonts w:ascii="Bookman Old Style" w:eastAsia="WarnockPro-Regular" w:hAnsi="Bookman Old Style" w:cs="WarnockPro-Regular"/>
          <w:sz w:val="27"/>
          <w:szCs w:val="27"/>
          <w:lang w:val="es-CO" w:eastAsia="en-US"/>
        </w:rPr>
        <w:t xml:space="preserve">en las Leyes 600 de </w:t>
      </w:r>
      <w:r w:rsidR="00696628" w:rsidRPr="00FA3473">
        <w:rPr>
          <w:rFonts w:ascii="Bookman Old Style" w:eastAsia="WarnockPro-Regular" w:hAnsi="Bookman Old Style" w:cs="WarnockPro-Regular"/>
          <w:sz w:val="27"/>
          <w:szCs w:val="27"/>
          <w:lang w:val="es-CO" w:eastAsia="en-US"/>
        </w:rPr>
        <w:t>2000</w:t>
      </w:r>
      <w:r w:rsidR="00222E01" w:rsidRPr="00FA3473">
        <w:rPr>
          <w:rFonts w:ascii="Bookman Old Style" w:eastAsia="WarnockPro-Regular" w:hAnsi="Bookman Old Style" w:cs="WarnockPro-Regular"/>
          <w:sz w:val="27"/>
          <w:szCs w:val="27"/>
          <w:lang w:val="es-CO" w:eastAsia="en-US"/>
        </w:rPr>
        <w:t xml:space="preserve"> </w:t>
      </w:r>
      <w:r w:rsidR="00696628" w:rsidRPr="00FA3473">
        <w:rPr>
          <w:rFonts w:ascii="Bookman Old Style" w:eastAsia="WarnockPro-Regular" w:hAnsi="Bookman Old Style" w:cs="WarnockPro-Regular"/>
          <w:sz w:val="27"/>
          <w:szCs w:val="27"/>
          <w:lang w:val="es-CO" w:eastAsia="en-US"/>
        </w:rPr>
        <w:t>(art.</w:t>
      </w:r>
      <w:r w:rsidR="00222E01" w:rsidRPr="00FA3473">
        <w:rPr>
          <w:rFonts w:ascii="Bookman Old Style" w:eastAsia="WarnockPro-Regular" w:hAnsi="Bookman Old Style" w:cs="WarnockPro-Regular"/>
          <w:sz w:val="27"/>
          <w:szCs w:val="27"/>
          <w:lang w:val="es-CO" w:eastAsia="en-US"/>
        </w:rPr>
        <w:t xml:space="preserve"> 365)</w:t>
      </w:r>
      <w:r w:rsidR="00696628" w:rsidRPr="00FA3473">
        <w:rPr>
          <w:rFonts w:ascii="Bookman Old Style" w:eastAsia="WarnockPro-Regular" w:hAnsi="Bookman Old Style" w:cs="WarnockPro-Regular"/>
          <w:sz w:val="27"/>
          <w:szCs w:val="27"/>
          <w:lang w:val="es-CO" w:eastAsia="en-US"/>
        </w:rPr>
        <w:t xml:space="preserve"> y 906 de 2004</w:t>
      </w:r>
      <w:r w:rsidR="00222E01" w:rsidRPr="00FA3473">
        <w:rPr>
          <w:rFonts w:ascii="Bookman Old Style" w:eastAsia="WarnockPro-Regular" w:hAnsi="Bookman Old Style" w:cs="WarnockPro-Regular"/>
          <w:sz w:val="27"/>
          <w:szCs w:val="27"/>
          <w:lang w:val="es-CO" w:eastAsia="en-US"/>
        </w:rPr>
        <w:t xml:space="preserve"> (317-6)</w:t>
      </w:r>
      <w:r w:rsidR="00CB204E" w:rsidRPr="00FA3473">
        <w:rPr>
          <w:rFonts w:ascii="Bookman Old Style" w:eastAsia="WarnockPro-Regular" w:hAnsi="Bookman Old Style" w:cs="WarnockPro-Regular"/>
          <w:sz w:val="27"/>
          <w:szCs w:val="27"/>
          <w:lang w:val="es-CO" w:eastAsia="en-US"/>
        </w:rPr>
        <w:t>. L</w:t>
      </w:r>
      <w:r w:rsidR="00D36520" w:rsidRPr="00FA3473">
        <w:rPr>
          <w:rFonts w:ascii="Bookman Old Style" w:eastAsia="WarnockPro-Regular" w:hAnsi="Bookman Old Style" w:cs="WarnockPro-Regular"/>
          <w:sz w:val="27"/>
          <w:szCs w:val="27"/>
          <w:lang w:val="es-CO" w:eastAsia="en-US"/>
        </w:rPr>
        <w:t>a figura bajo estudio en el presente caso</w:t>
      </w:r>
      <w:r w:rsidR="00CB204E" w:rsidRPr="00FA3473">
        <w:rPr>
          <w:rFonts w:ascii="Bookman Old Style" w:eastAsia="WarnockPro-Regular" w:hAnsi="Bookman Old Style" w:cs="WarnockPro-Regular"/>
          <w:sz w:val="27"/>
          <w:szCs w:val="27"/>
          <w:lang w:val="es-CO" w:eastAsia="en-US"/>
        </w:rPr>
        <w:t>, reitérase,</w:t>
      </w:r>
      <w:r w:rsidR="00D36520" w:rsidRPr="00FA3473">
        <w:rPr>
          <w:rFonts w:ascii="Bookman Old Style" w:eastAsia="WarnockPro-Regular" w:hAnsi="Bookman Old Style" w:cs="WarnockPro-Regular"/>
          <w:sz w:val="27"/>
          <w:szCs w:val="27"/>
          <w:lang w:val="es-CO" w:eastAsia="en-US"/>
        </w:rPr>
        <w:t xml:space="preserve"> es la del plazo máximo genérico de vigencia de la detención preventiva</w:t>
      </w:r>
      <w:r w:rsidR="00262A79">
        <w:rPr>
          <w:rFonts w:ascii="Bookman Old Style" w:eastAsia="WarnockPro-Regular" w:hAnsi="Bookman Old Style" w:cs="WarnockPro-Regular"/>
          <w:sz w:val="27"/>
          <w:szCs w:val="27"/>
          <w:lang w:val="es-CO" w:eastAsia="en-US"/>
        </w:rPr>
        <w:t xml:space="preserve"> (cfr. num. 3.1.</w:t>
      </w:r>
      <w:r w:rsidR="001B359A" w:rsidRPr="00FA3473">
        <w:rPr>
          <w:rFonts w:ascii="Bookman Old Style" w:eastAsia="WarnockPro-Regular" w:hAnsi="Bookman Old Style" w:cs="WarnockPro-Regular"/>
          <w:sz w:val="27"/>
          <w:szCs w:val="27"/>
          <w:lang w:val="es-CO" w:eastAsia="en-US"/>
        </w:rPr>
        <w:t xml:space="preserve">4 </w:t>
      </w:r>
      <w:r w:rsidR="001B359A" w:rsidRPr="00FA3473">
        <w:rPr>
          <w:rFonts w:ascii="Bookman Old Style" w:eastAsia="WarnockPro-Regular" w:hAnsi="Bookman Old Style" w:cs="WarnockPro-Regular"/>
          <w:i/>
          <w:sz w:val="27"/>
          <w:szCs w:val="27"/>
          <w:lang w:val="es-CO" w:eastAsia="en-US"/>
        </w:rPr>
        <w:t>supra</w:t>
      </w:r>
      <w:r w:rsidR="001B359A" w:rsidRPr="00FA3473">
        <w:rPr>
          <w:rFonts w:ascii="Bookman Old Style" w:eastAsia="WarnockPro-Regular" w:hAnsi="Bookman Old Style" w:cs="WarnockPro-Regular"/>
          <w:sz w:val="27"/>
          <w:szCs w:val="27"/>
          <w:lang w:val="es-CO" w:eastAsia="en-US"/>
        </w:rPr>
        <w:t>)</w:t>
      </w:r>
      <w:r w:rsidR="00D36520" w:rsidRPr="00FA3473">
        <w:rPr>
          <w:rFonts w:ascii="Bookman Old Style" w:eastAsia="WarnockPro-Regular" w:hAnsi="Bookman Old Style" w:cs="WarnockPro-Regular"/>
          <w:sz w:val="27"/>
          <w:szCs w:val="27"/>
          <w:lang w:val="es-CO" w:eastAsia="en-US"/>
        </w:rPr>
        <w:t xml:space="preserve">, no </w:t>
      </w:r>
      <w:r w:rsidR="001B359A" w:rsidRPr="00FA3473">
        <w:rPr>
          <w:rFonts w:ascii="Bookman Old Style" w:eastAsia="WarnockPro-Regular" w:hAnsi="Bookman Old Style" w:cs="WarnockPro-Regular"/>
          <w:sz w:val="27"/>
          <w:szCs w:val="27"/>
          <w:lang w:val="es-CO" w:eastAsia="en-US"/>
        </w:rPr>
        <w:t xml:space="preserve">los motivos de libertad aplicables en referencia al incumplimiento de plazos </w:t>
      </w:r>
      <w:r w:rsidR="00CB204E" w:rsidRPr="00FA3473">
        <w:rPr>
          <w:rFonts w:ascii="Bookman Old Style" w:eastAsia="WarnockPro-Regular" w:hAnsi="Bookman Old Style" w:cs="WarnockPro-Regular"/>
          <w:sz w:val="27"/>
          <w:szCs w:val="27"/>
          <w:lang w:val="es-CO" w:eastAsia="en-US"/>
        </w:rPr>
        <w:t xml:space="preserve">especiales </w:t>
      </w:r>
      <w:r w:rsidR="001B359A" w:rsidRPr="00FA3473">
        <w:rPr>
          <w:rFonts w:ascii="Bookman Old Style" w:eastAsia="WarnockPro-Regular" w:hAnsi="Bookman Old Style" w:cs="WarnockPro-Regular"/>
          <w:sz w:val="27"/>
          <w:szCs w:val="27"/>
          <w:lang w:val="es-CO" w:eastAsia="en-US"/>
        </w:rPr>
        <w:t>en diversas etapas procesales</w:t>
      </w:r>
      <w:r w:rsidR="00CB204E" w:rsidRPr="00FA3473">
        <w:rPr>
          <w:rFonts w:ascii="Bookman Old Style" w:eastAsia="WarnockPro-Regular" w:hAnsi="Bookman Old Style" w:cs="WarnockPro-Regular"/>
          <w:sz w:val="27"/>
          <w:szCs w:val="27"/>
          <w:lang w:val="es-CO" w:eastAsia="en-US"/>
        </w:rPr>
        <w:t xml:space="preserve"> </w:t>
      </w:r>
      <w:r w:rsidR="00CB204E" w:rsidRPr="00FA3473">
        <w:rPr>
          <w:rFonts w:ascii="Bookman Old Style" w:eastAsia="WarnockPro-Regular" w:hAnsi="Bookman Old Style" w:cs="WarnockPro-Regular"/>
          <w:sz w:val="25"/>
          <w:szCs w:val="25"/>
          <w:lang w:val="es-CO" w:eastAsia="en-US"/>
        </w:rPr>
        <w:t>(como el art. 317-6 de la Ley 906 de 2004)</w:t>
      </w:r>
      <w:r w:rsidR="001B359A" w:rsidRPr="00FA3473">
        <w:rPr>
          <w:rFonts w:ascii="Bookman Old Style" w:eastAsia="WarnockPro-Regular" w:hAnsi="Bookman Old Style" w:cs="WarnockPro-Regular"/>
          <w:sz w:val="27"/>
          <w:szCs w:val="27"/>
          <w:lang w:val="es-CO" w:eastAsia="en-US"/>
        </w:rPr>
        <w:t>, estas sí, diversas entre una codificaci</w:t>
      </w:r>
      <w:r w:rsidR="00CB204E" w:rsidRPr="00FA3473">
        <w:rPr>
          <w:rFonts w:ascii="Bookman Old Style" w:eastAsia="WarnockPro-Regular" w:hAnsi="Bookman Old Style" w:cs="WarnockPro-Regular"/>
          <w:sz w:val="27"/>
          <w:szCs w:val="27"/>
          <w:lang w:val="es-CO" w:eastAsia="en-US"/>
        </w:rPr>
        <w:t xml:space="preserve">ón y otra, lo cual torna inatinentes las alegaciones de la parte civil. </w:t>
      </w:r>
      <w:r w:rsidR="001B359A" w:rsidRPr="00FA3473">
        <w:rPr>
          <w:rFonts w:ascii="Bookman Old Style" w:eastAsia="WarnockPro-Regular" w:hAnsi="Bookman Old Style" w:cs="WarnockPro-Regular"/>
          <w:sz w:val="27"/>
          <w:szCs w:val="27"/>
          <w:lang w:val="es-CO" w:eastAsia="en-US"/>
        </w:rPr>
        <w:t xml:space="preserve"> </w:t>
      </w:r>
    </w:p>
    <w:p w:rsidR="00CB204E" w:rsidRPr="00FA3473" w:rsidRDefault="00CB204E" w:rsidP="00727F29">
      <w:pPr>
        <w:spacing w:line="336" w:lineRule="auto"/>
        <w:ind w:firstLine="705"/>
        <w:jc w:val="both"/>
        <w:rPr>
          <w:rFonts w:ascii="Bookman Old Style" w:eastAsia="WarnockPro-Regular" w:hAnsi="Bookman Old Style" w:cs="WarnockPro-Regular"/>
          <w:sz w:val="27"/>
          <w:szCs w:val="27"/>
          <w:lang w:val="es-CO" w:eastAsia="en-US"/>
        </w:rPr>
      </w:pPr>
    </w:p>
    <w:p w:rsidR="00E3179B" w:rsidRPr="00FA3473" w:rsidRDefault="00CB204E" w:rsidP="00727F29">
      <w:pPr>
        <w:spacing w:line="336" w:lineRule="auto"/>
        <w:ind w:firstLine="705"/>
        <w:jc w:val="both"/>
        <w:rPr>
          <w:rFonts w:ascii="Bookman Old Style" w:eastAsia="WarnockPro-Regular" w:hAnsi="Bookman Old Style" w:cs="WarnockPro-Regular"/>
          <w:sz w:val="27"/>
          <w:szCs w:val="27"/>
          <w:lang w:val="es-CO" w:eastAsia="en-US"/>
        </w:rPr>
      </w:pPr>
      <w:r w:rsidRPr="00FA3473">
        <w:rPr>
          <w:rFonts w:ascii="Bookman Old Style" w:eastAsia="WarnockPro-Regular" w:hAnsi="Bookman Old Style" w:cs="WarnockPro-Regular"/>
          <w:sz w:val="27"/>
          <w:szCs w:val="27"/>
          <w:lang w:val="es-CO" w:eastAsia="en-US"/>
        </w:rPr>
        <w:tab/>
        <w:t xml:space="preserve">Igualmente desatinados se advierten los reproches elevados por dicho sujeto procesal </w:t>
      </w:r>
      <w:r w:rsidR="00A27CFA" w:rsidRPr="00FA3473">
        <w:rPr>
          <w:rFonts w:ascii="Bookman Old Style" w:eastAsia="WarnockPro-Regular" w:hAnsi="Bookman Old Style" w:cs="WarnockPro-Regular"/>
          <w:sz w:val="27"/>
          <w:szCs w:val="27"/>
          <w:lang w:val="es-CO" w:eastAsia="en-US"/>
        </w:rPr>
        <w:t xml:space="preserve">al sostener que </w:t>
      </w:r>
      <w:r w:rsidR="00E3179B" w:rsidRPr="00FA3473">
        <w:rPr>
          <w:rFonts w:ascii="Bookman Old Style" w:eastAsia="WarnockPro-Regular" w:hAnsi="Bookman Old Style" w:cs="WarnockPro-Regular"/>
          <w:sz w:val="27"/>
          <w:szCs w:val="27"/>
          <w:lang w:val="es-CO" w:eastAsia="en-US"/>
        </w:rPr>
        <w:t xml:space="preserve">lo procedente en la Ley 600 de 2000, a la luz del art. 363, es la </w:t>
      </w:r>
      <w:r w:rsidR="00E3179B" w:rsidRPr="00FA3473">
        <w:rPr>
          <w:rFonts w:ascii="Bookman Old Style" w:eastAsia="WarnockPro-Regular" w:hAnsi="Bookman Old Style" w:cs="WarnockPro-Regular"/>
          <w:sz w:val="27"/>
          <w:szCs w:val="27"/>
          <w:lang w:val="es-CO" w:eastAsia="en-US"/>
        </w:rPr>
        <w:lastRenderedPageBreak/>
        <w:t>revocatoria de la medida de aseguramiento</w:t>
      </w:r>
      <w:r w:rsidR="00E3179B" w:rsidRPr="00FA3473">
        <w:rPr>
          <w:rStyle w:val="Refdenotaalpie"/>
          <w:rFonts w:ascii="Bookman Old Style" w:eastAsia="WarnockPro-Regular" w:hAnsi="Bookman Old Style" w:cs="WarnockPro-Regular"/>
          <w:sz w:val="27"/>
          <w:szCs w:val="27"/>
          <w:lang w:val="es-CO" w:eastAsia="en-US"/>
        </w:rPr>
        <w:footnoteReference w:id="20"/>
      </w:r>
      <w:r w:rsidR="00E3179B" w:rsidRPr="00FA3473">
        <w:rPr>
          <w:rFonts w:ascii="Bookman Old Style" w:eastAsia="WarnockPro-Regular" w:hAnsi="Bookman Old Style" w:cs="WarnockPro-Regular"/>
          <w:sz w:val="27"/>
          <w:szCs w:val="27"/>
          <w:lang w:val="es-CO" w:eastAsia="en-US"/>
        </w:rPr>
        <w:t>, como quiera que en el presente caso no se está invocando la modificación de los fundamentos sustanciales que la soportan ni su falta de necesidad por decaimiento de alguna de las necesidades que</w:t>
      </w:r>
      <w:r w:rsidR="00365A54" w:rsidRPr="00FA3473">
        <w:rPr>
          <w:rFonts w:ascii="Bookman Old Style" w:eastAsia="WarnockPro-Regular" w:hAnsi="Bookman Old Style" w:cs="WarnockPro-Regular"/>
          <w:sz w:val="27"/>
          <w:szCs w:val="27"/>
          <w:lang w:val="es-CO" w:eastAsia="en-US"/>
        </w:rPr>
        <w:t xml:space="preserve"> </w:t>
      </w:r>
      <w:r w:rsidR="00E3179B" w:rsidRPr="00FA3473">
        <w:rPr>
          <w:rFonts w:ascii="Bookman Old Style" w:eastAsia="WarnockPro-Regular" w:hAnsi="Bookman Old Style" w:cs="WarnockPro-Regular"/>
          <w:sz w:val="27"/>
          <w:szCs w:val="27"/>
          <w:lang w:val="es-CO" w:eastAsia="en-US"/>
        </w:rPr>
        <w:t xml:space="preserve">la justifican, sino el vencimiento del término máximo de vigencia, que daría lugar a la </w:t>
      </w:r>
      <w:r w:rsidR="00E3179B" w:rsidRPr="00FA3473">
        <w:rPr>
          <w:rFonts w:ascii="Bookman Old Style" w:eastAsia="WarnockPro-Regular" w:hAnsi="Bookman Old Style" w:cs="WarnockPro-Regular"/>
          <w:i/>
          <w:sz w:val="27"/>
          <w:szCs w:val="27"/>
          <w:lang w:val="es-CO" w:eastAsia="en-US"/>
        </w:rPr>
        <w:t xml:space="preserve">sustitución. </w:t>
      </w:r>
    </w:p>
    <w:p w:rsidR="00E3179B" w:rsidRDefault="00E3179B" w:rsidP="00727F29">
      <w:pPr>
        <w:spacing w:line="336" w:lineRule="auto"/>
        <w:ind w:firstLine="705"/>
        <w:jc w:val="both"/>
        <w:rPr>
          <w:rFonts w:ascii="Bookman Old Style" w:eastAsia="WarnockPro-Regular" w:hAnsi="Bookman Old Style" w:cs="WarnockPro-Regular"/>
          <w:sz w:val="27"/>
          <w:szCs w:val="27"/>
          <w:lang w:val="es-CO" w:eastAsia="en-US"/>
        </w:rPr>
      </w:pPr>
    </w:p>
    <w:p w:rsidR="0072060F" w:rsidRPr="00FA3473" w:rsidRDefault="00275D49" w:rsidP="00727F29">
      <w:pPr>
        <w:spacing w:line="336" w:lineRule="auto"/>
        <w:ind w:firstLine="705"/>
        <w:jc w:val="both"/>
        <w:rPr>
          <w:rFonts w:ascii="Bookman Old Style" w:hAnsi="Bookman Old Style"/>
          <w:sz w:val="27"/>
          <w:szCs w:val="27"/>
          <w:lang w:val="es-MX"/>
        </w:rPr>
      </w:pPr>
      <w:r w:rsidRPr="00FA3473">
        <w:rPr>
          <w:rFonts w:ascii="Bookman Old Style" w:hAnsi="Bookman Old Style"/>
          <w:b/>
          <w:sz w:val="27"/>
          <w:szCs w:val="27"/>
          <w:lang w:val="es-MX"/>
        </w:rPr>
        <w:t>3.3</w:t>
      </w:r>
      <w:r w:rsidR="0072060F" w:rsidRPr="00FA3473">
        <w:rPr>
          <w:rFonts w:ascii="Bookman Old Style" w:hAnsi="Bookman Old Style"/>
          <w:b/>
          <w:sz w:val="27"/>
          <w:szCs w:val="27"/>
          <w:lang w:val="es-MX"/>
        </w:rPr>
        <w:tab/>
        <w:t>Del caso en concreto</w:t>
      </w:r>
    </w:p>
    <w:p w:rsidR="009E5192" w:rsidRPr="00FA3473" w:rsidRDefault="009E5192" w:rsidP="00727F29">
      <w:pPr>
        <w:spacing w:line="336" w:lineRule="auto"/>
        <w:ind w:firstLine="705"/>
        <w:jc w:val="both"/>
        <w:rPr>
          <w:rFonts w:ascii="Bookman Old Style" w:hAnsi="Bookman Old Style"/>
          <w:sz w:val="27"/>
          <w:szCs w:val="27"/>
          <w:lang w:val="es-MX"/>
        </w:rPr>
      </w:pPr>
    </w:p>
    <w:p w:rsidR="009E5192" w:rsidRPr="00FA3473" w:rsidRDefault="009E5192" w:rsidP="00727F29">
      <w:pPr>
        <w:spacing w:line="336" w:lineRule="auto"/>
        <w:ind w:firstLine="708"/>
        <w:jc w:val="both"/>
        <w:rPr>
          <w:rFonts w:ascii="Bookman Old Style" w:hAnsi="Bookman Old Style"/>
          <w:sz w:val="27"/>
          <w:szCs w:val="27"/>
          <w:lang w:val="es-MX"/>
        </w:rPr>
      </w:pPr>
      <w:r w:rsidRPr="00FA3473">
        <w:rPr>
          <w:rFonts w:ascii="Bookman Old Style" w:hAnsi="Bookman Old Style"/>
          <w:sz w:val="27"/>
          <w:szCs w:val="27"/>
          <w:lang w:val="es-MX"/>
        </w:rPr>
        <w:t xml:space="preserve">JULIO ENRIQUE ACOSTA BERNAL ha estado privado de la libertad por cuenta de esta actuación desde el 14 de marzo de 2011 hasta el 17 de noviembre de 2016 y desde el 1º de junio de 2017 hasta la fecha, esto es, </w:t>
      </w:r>
      <w:r w:rsidRPr="00FA3473">
        <w:rPr>
          <w:rFonts w:ascii="Bookman Old Style" w:hAnsi="Bookman Old Style"/>
          <w:b/>
          <w:i/>
          <w:sz w:val="27"/>
          <w:szCs w:val="27"/>
          <w:lang w:val="es-MX"/>
        </w:rPr>
        <w:t>durante 5 años, 9 meses y 19 días</w:t>
      </w:r>
      <w:r w:rsidRPr="00FA3473">
        <w:rPr>
          <w:rFonts w:ascii="Bookman Old Style" w:hAnsi="Bookman Old Style"/>
          <w:sz w:val="27"/>
          <w:szCs w:val="27"/>
          <w:lang w:val="es-MX"/>
        </w:rPr>
        <w:t>, una vez descontado el lapso que estuvo privado de la libertad por cuenta del proceso radicado con el Nº 43.263, adelantado por esta Corporación, en el marco del cual se restringió la libertad entre el 18 de noviembre de 2016 y el 31 de mayo de 2017, es decir, 6 meses y 13 días.</w:t>
      </w:r>
    </w:p>
    <w:p w:rsidR="009E5192" w:rsidRPr="00FA3473" w:rsidRDefault="009E5192" w:rsidP="00727F29">
      <w:pPr>
        <w:spacing w:line="336" w:lineRule="auto"/>
        <w:ind w:firstLine="708"/>
        <w:jc w:val="both"/>
        <w:rPr>
          <w:rFonts w:ascii="Bookman Old Style" w:hAnsi="Bookman Old Style"/>
          <w:sz w:val="27"/>
          <w:szCs w:val="27"/>
          <w:lang w:val="es-MX"/>
        </w:rPr>
      </w:pPr>
    </w:p>
    <w:p w:rsidR="009E5192" w:rsidRDefault="009E5192" w:rsidP="00727F29">
      <w:pPr>
        <w:spacing w:line="336" w:lineRule="auto"/>
        <w:ind w:firstLine="708"/>
        <w:jc w:val="both"/>
        <w:rPr>
          <w:rFonts w:ascii="Bookman Old Style" w:hAnsi="Bookman Old Style"/>
          <w:sz w:val="27"/>
          <w:szCs w:val="27"/>
          <w:lang w:val="es-MX"/>
        </w:rPr>
      </w:pPr>
      <w:r w:rsidRPr="00FA3473">
        <w:rPr>
          <w:rFonts w:ascii="Bookman Old Style" w:hAnsi="Bookman Old Style"/>
          <w:sz w:val="27"/>
          <w:szCs w:val="27"/>
          <w:lang w:val="es-MX"/>
        </w:rPr>
        <w:t>Además, no se observa que en la prolongación del término de privación de la libertad hayan tenido influencia situaciones que pudieran calificarse como dilatorias del proceso por parte del acusado o su defensor, pues como claramente lo señaló la defensa, la nulidad que obligó repetir en buena medida la actuación no es atribuible a esa parte.</w:t>
      </w:r>
    </w:p>
    <w:p w:rsidR="00916D77" w:rsidRPr="00FA3473" w:rsidRDefault="00916D77" w:rsidP="00727F29">
      <w:pPr>
        <w:spacing w:line="336" w:lineRule="auto"/>
        <w:ind w:firstLine="708"/>
        <w:jc w:val="both"/>
        <w:rPr>
          <w:rFonts w:ascii="Bookman Old Style" w:hAnsi="Bookman Old Style"/>
          <w:sz w:val="27"/>
          <w:szCs w:val="27"/>
          <w:lang w:val="es-MX"/>
        </w:rPr>
      </w:pPr>
    </w:p>
    <w:p w:rsidR="009E5192" w:rsidRPr="00FA3473" w:rsidRDefault="009E5192" w:rsidP="00727F29">
      <w:pPr>
        <w:spacing w:line="336" w:lineRule="auto"/>
        <w:ind w:firstLine="705"/>
        <w:jc w:val="both"/>
        <w:rPr>
          <w:rFonts w:ascii="Bookman Old Style" w:hAnsi="Bookman Old Style"/>
          <w:lang w:val="es-MX"/>
        </w:rPr>
      </w:pPr>
      <w:r w:rsidRPr="00FA3473">
        <w:rPr>
          <w:rFonts w:ascii="Bookman Old Style" w:hAnsi="Bookman Old Style"/>
          <w:sz w:val="27"/>
          <w:szCs w:val="27"/>
          <w:lang w:val="es-MX"/>
        </w:rPr>
        <w:lastRenderedPageBreak/>
        <w:t>Aplicadas las anteriores premisas a la situación procesal del acusado, salta a la vista que, por haberse sobrepasado con creces el término máximo de vigencia de la medida de aseguramiento</w:t>
      </w:r>
      <w:r w:rsidRPr="00FA3473">
        <w:rPr>
          <w:rFonts w:ascii="Bookman Old Style" w:hAnsi="Bookman Old Style"/>
          <w:lang w:val="es-MX"/>
        </w:rPr>
        <w:t xml:space="preserve"> </w:t>
      </w:r>
      <w:r w:rsidRPr="00FA3473">
        <w:rPr>
          <w:rFonts w:ascii="Bookman Old Style" w:hAnsi="Bookman Old Style"/>
          <w:sz w:val="25"/>
          <w:szCs w:val="25"/>
          <w:lang w:val="es-MX"/>
        </w:rPr>
        <w:t xml:space="preserve">-incluso contabilizando la prórroga que cabe por tratarse uno de los delitos juzgados de aquellos de conocimiento de la justicia especializada- </w:t>
      </w:r>
      <w:r w:rsidRPr="00FA3473">
        <w:rPr>
          <w:rFonts w:ascii="Bookman Old Style" w:hAnsi="Bookman Old Style"/>
          <w:sz w:val="27"/>
          <w:szCs w:val="27"/>
          <w:lang w:val="es-MX"/>
        </w:rPr>
        <w:t xml:space="preserve">existe una vulneración a la garantía fundamental a ser juzgado dentro de un plazo razonable; en consecuencia, a aquél le asiste el derecho de afrontar el juicio en libertad -con el cumplimiento de determinadas garantías-. </w:t>
      </w:r>
    </w:p>
    <w:p w:rsidR="009E5192" w:rsidRPr="00FA3473" w:rsidRDefault="009E5192" w:rsidP="00727F29">
      <w:pPr>
        <w:spacing w:line="336" w:lineRule="auto"/>
        <w:jc w:val="both"/>
        <w:rPr>
          <w:rFonts w:ascii="Bookman Old Style" w:hAnsi="Bookman Old Style"/>
          <w:lang w:val="es-MX"/>
        </w:rPr>
      </w:pPr>
    </w:p>
    <w:p w:rsidR="00E847D9" w:rsidRPr="00FA3473" w:rsidRDefault="009E5192" w:rsidP="00727F29">
      <w:pPr>
        <w:spacing w:line="336" w:lineRule="auto"/>
        <w:ind w:firstLine="708"/>
        <w:jc w:val="both"/>
        <w:rPr>
          <w:rFonts w:ascii="Bookman Old Style" w:hAnsi="Bookman Old Style"/>
          <w:sz w:val="27"/>
          <w:szCs w:val="27"/>
          <w:lang w:val="es-MX"/>
        </w:rPr>
      </w:pPr>
      <w:r w:rsidRPr="00FA3473">
        <w:rPr>
          <w:rFonts w:ascii="Bookman Old Style" w:hAnsi="Bookman Old Style"/>
          <w:lang w:val="es-MX"/>
        </w:rPr>
        <w:t xml:space="preserve">  </w:t>
      </w:r>
      <w:r w:rsidRPr="00FA3473">
        <w:rPr>
          <w:rFonts w:ascii="Bookman Old Style" w:hAnsi="Bookman Old Style"/>
          <w:sz w:val="27"/>
          <w:szCs w:val="27"/>
          <w:lang w:val="es-MX"/>
        </w:rPr>
        <w:t>Ante ello</w:t>
      </w:r>
      <w:r w:rsidR="00E847D9" w:rsidRPr="00FA3473">
        <w:rPr>
          <w:rFonts w:ascii="Bookman Old Style" w:hAnsi="Bookman Old Style"/>
          <w:sz w:val="27"/>
          <w:szCs w:val="27"/>
          <w:lang w:val="es-MX"/>
        </w:rPr>
        <w:t>, resulta procedente sustituir</w:t>
      </w:r>
      <w:r w:rsidRPr="00FA3473">
        <w:rPr>
          <w:rFonts w:ascii="Bookman Old Style" w:hAnsi="Bookman Old Style"/>
          <w:sz w:val="27"/>
          <w:szCs w:val="27"/>
          <w:lang w:val="es-MX"/>
        </w:rPr>
        <w:t xml:space="preserve"> la medida de aseguramiento pri</w:t>
      </w:r>
      <w:r w:rsidR="00E847D9" w:rsidRPr="00FA3473">
        <w:rPr>
          <w:rFonts w:ascii="Bookman Old Style" w:hAnsi="Bookman Old Style"/>
          <w:sz w:val="27"/>
          <w:szCs w:val="27"/>
          <w:lang w:val="es-MX"/>
        </w:rPr>
        <w:t>vativa de la libertad</w:t>
      </w:r>
      <w:r w:rsidRPr="00FA3473">
        <w:rPr>
          <w:rFonts w:ascii="Bookman Old Style" w:hAnsi="Bookman Old Style"/>
          <w:sz w:val="27"/>
          <w:szCs w:val="27"/>
          <w:lang w:val="es-MX"/>
        </w:rPr>
        <w:t xml:space="preserve"> por otra u otras que no restrinjan dicho derecho</w:t>
      </w:r>
      <w:r w:rsidR="00E847D9" w:rsidRPr="00FA3473">
        <w:rPr>
          <w:rFonts w:ascii="Bookman Old Style" w:hAnsi="Bookman Old Style"/>
          <w:sz w:val="27"/>
          <w:szCs w:val="27"/>
          <w:lang w:val="es-MX"/>
        </w:rPr>
        <w:t xml:space="preserve"> (art. 307 lit. b de la Ley 906 de 2004)</w:t>
      </w:r>
      <w:r w:rsidRPr="00FA3473">
        <w:rPr>
          <w:rFonts w:ascii="Bookman Old Style" w:hAnsi="Bookman Old Style"/>
          <w:sz w:val="27"/>
          <w:szCs w:val="27"/>
          <w:lang w:val="es-MX"/>
        </w:rPr>
        <w:t>, pero que permitan atender los fines que</w:t>
      </w:r>
      <w:r w:rsidR="00E847D9" w:rsidRPr="00FA3473">
        <w:rPr>
          <w:rFonts w:ascii="Bookman Old Style" w:hAnsi="Bookman Old Style"/>
          <w:sz w:val="27"/>
          <w:szCs w:val="27"/>
          <w:lang w:val="es-MX"/>
        </w:rPr>
        <w:t xml:space="preserve"> llevaron a imponer la medida, </w:t>
      </w:r>
      <w:r w:rsidRPr="00FA3473">
        <w:rPr>
          <w:rFonts w:ascii="Bookman Old Style" w:hAnsi="Bookman Old Style"/>
          <w:sz w:val="27"/>
          <w:szCs w:val="27"/>
          <w:lang w:val="es-MX"/>
        </w:rPr>
        <w:t>a los cuales se hizo alusión al resolver su situación jurídica y se reiteraron en la resolución de acusación.</w:t>
      </w:r>
      <w:r w:rsidR="00E847D9" w:rsidRPr="00FA3473">
        <w:rPr>
          <w:rFonts w:ascii="Bookman Old Style" w:hAnsi="Bookman Old Style"/>
          <w:sz w:val="27"/>
          <w:szCs w:val="27"/>
          <w:lang w:val="es-MX"/>
        </w:rPr>
        <w:t xml:space="preserve"> En concreto, teniendo en cuenta que el procesado ha estado detenido por un término excesivo y la investigación está perfeccionada, se ofrece proporcionado y suficiente garantizar su comparecencia al proceso mediante la obligación de presentarse periódicamente cuando sea requerido por la Corte; el deber de observar buena conducta individual, familiar y social; la prohibición de salir del país y mantener la caución prendaria en cuantía de 50 salarios mínimos legales mensuales vigentes, la cual ya fue consignada a nombre de esta Corporación. </w:t>
      </w:r>
    </w:p>
    <w:p w:rsidR="009E5192" w:rsidRPr="00FA3473" w:rsidRDefault="009E5192" w:rsidP="00727F29">
      <w:pPr>
        <w:spacing w:line="336" w:lineRule="auto"/>
        <w:ind w:firstLine="705"/>
        <w:jc w:val="both"/>
        <w:rPr>
          <w:rFonts w:ascii="Bookman Old Style" w:hAnsi="Bookman Old Style"/>
          <w:sz w:val="27"/>
          <w:szCs w:val="27"/>
          <w:lang w:val="es-MX"/>
        </w:rPr>
      </w:pPr>
    </w:p>
    <w:p w:rsidR="009E5192" w:rsidRPr="00FA3473" w:rsidRDefault="009E5192" w:rsidP="00727F29">
      <w:pPr>
        <w:spacing w:line="336" w:lineRule="auto"/>
        <w:ind w:firstLine="705"/>
        <w:jc w:val="both"/>
        <w:rPr>
          <w:rFonts w:ascii="Bookman Old Style" w:hAnsi="Bookman Old Style"/>
          <w:sz w:val="27"/>
          <w:szCs w:val="27"/>
          <w:lang w:val="es-MX"/>
        </w:rPr>
      </w:pPr>
      <w:r w:rsidRPr="00FA3473">
        <w:rPr>
          <w:rFonts w:ascii="Bookman Old Style" w:hAnsi="Bookman Old Style"/>
          <w:sz w:val="27"/>
          <w:szCs w:val="27"/>
          <w:lang w:val="es-MX"/>
        </w:rPr>
        <w:t xml:space="preserve">Para </w:t>
      </w:r>
      <w:r w:rsidR="00D6311E" w:rsidRPr="00FA3473">
        <w:rPr>
          <w:rFonts w:ascii="Bookman Old Style" w:hAnsi="Bookman Old Style"/>
          <w:sz w:val="27"/>
          <w:szCs w:val="27"/>
          <w:lang w:val="es-MX"/>
        </w:rPr>
        <w:t xml:space="preserve">el cumplimiento de dichas medidas </w:t>
      </w:r>
      <w:r w:rsidRPr="00FA3473">
        <w:rPr>
          <w:rFonts w:ascii="Bookman Old Style" w:hAnsi="Bookman Old Style"/>
          <w:sz w:val="27"/>
          <w:szCs w:val="27"/>
          <w:lang w:val="es-MX"/>
        </w:rPr>
        <w:t xml:space="preserve">se oficiará a las autoridades correspondientes y, en relación con la última, la </w:t>
      </w:r>
      <w:r w:rsidRPr="00FA3473">
        <w:rPr>
          <w:rFonts w:ascii="Bookman Old Style" w:hAnsi="Bookman Old Style"/>
          <w:sz w:val="27"/>
          <w:szCs w:val="27"/>
          <w:lang w:val="es-MX"/>
        </w:rPr>
        <w:lastRenderedPageBreak/>
        <w:t xml:space="preserve">Corte mantendrá la caución real impuesta al procesado, la cual ya fue </w:t>
      </w:r>
      <w:r w:rsidR="00D6311E" w:rsidRPr="00FA3473">
        <w:rPr>
          <w:rFonts w:ascii="Bookman Old Style" w:hAnsi="Bookman Old Style"/>
          <w:sz w:val="27"/>
          <w:szCs w:val="27"/>
          <w:lang w:val="es-MX"/>
        </w:rPr>
        <w:t>constituida mediante título de depósito Nº</w:t>
      </w:r>
      <w:r w:rsidRPr="00FA3473">
        <w:rPr>
          <w:rFonts w:ascii="Bookman Old Style" w:hAnsi="Bookman Old Style"/>
          <w:sz w:val="27"/>
          <w:szCs w:val="27"/>
          <w:lang w:val="es-MX"/>
        </w:rPr>
        <w:t xml:space="preserve"> A 6227254, suscrito en el Banco Agrario de Colombia, por valor de $34.500.000.oo, equivalentes a 50 SMLMV, tal como se dispuso por esta Corporación en auto del 30 de marzo de 2016. En relación con las restantes, se suscribirá diligencia de compromiso.</w:t>
      </w:r>
    </w:p>
    <w:p w:rsidR="00D6311E" w:rsidRPr="00FA3473" w:rsidRDefault="00D6311E" w:rsidP="00727F29">
      <w:pPr>
        <w:spacing w:line="336" w:lineRule="auto"/>
        <w:ind w:firstLine="705"/>
        <w:jc w:val="both"/>
        <w:rPr>
          <w:rFonts w:ascii="Bookman Old Style" w:hAnsi="Bookman Old Style"/>
          <w:sz w:val="27"/>
          <w:szCs w:val="27"/>
          <w:lang w:val="es-MX"/>
        </w:rPr>
      </w:pPr>
    </w:p>
    <w:p w:rsidR="00D6311E" w:rsidRPr="00FA3473" w:rsidRDefault="00D6311E" w:rsidP="00727F29">
      <w:pPr>
        <w:spacing w:line="336" w:lineRule="auto"/>
        <w:ind w:firstLine="705"/>
        <w:jc w:val="both"/>
        <w:rPr>
          <w:rFonts w:ascii="Bookman Old Style" w:hAnsi="Bookman Old Style"/>
          <w:sz w:val="27"/>
          <w:szCs w:val="27"/>
          <w:lang w:val="es-MX"/>
        </w:rPr>
      </w:pPr>
      <w:r w:rsidRPr="00FA3473">
        <w:rPr>
          <w:rFonts w:ascii="Bookman Old Style" w:hAnsi="Bookman Old Style"/>
          <w:sz w:val="27"/>
          <w:szCs w:val="27"/>
          <w:lang w:val="es-MX"/>
        </w:rPr>
        <w:t xml:space="preserve">En mérito de lo expuesto, la Sala de Casación Penal de la Corte Suprema de Justicia </w:t>
      </w:r>
    </w:p>
    <w:p w:rsidR="00D6311E" w:rsidRPr="00FA3473" w:rsidRDefault="00D6311E" w:rsidP="00916D77">
      <w:pPr>
        <w:spacing w:line="336" w:lineRule="auto"/>
        <w:ind w:firstLine="705"/>
        <w:jc w:val="center"/>
        <w:rPr>
          <w:rFonts w:ascii="Bookman Old Style" w:hAnsi="Bookman Old Style"/>
          <w:b/>
          <w:sz w:val="27"/>
          <w:szCs w:val="27"/>
          <w:lang w:val="es-MX"/>
        </w:rPr>
      </w:pPr>
      <w:r w:rsidRPr="00FA3473">
        <w:rPr>
          <w:rFonts w:ascii="Bookman Old Style" w:hAnsi="Bookman Old Style"/>
          <w:b/>
          <w:sz w:val="27"/>
          <w:szCs w:val="27"/>
          <w:lang w:val="es-MX"/>
        </w:rPr>
        <w:t>RESUELVE</w:t>
      </w:r>
    </w:p>
    <w:p w:rsidR="00D6311E" w:rsidRPr="00FA3473" w:rsidRDefault="00D6311E" w:rsidP="00727F29">
      <w:pPr>
        <w:spacing w:line="336" w:lineRule="auto"/>
        <w:jc w:val="both"/>
        <w:rPr>
          <w:rFonts w:ascii="Bookman Old Style" w:hAnsi="Bookman Old Style"/>
          <w:sz w:val="27"/>
          <w:szCs w:val="27"/>
          <w:lang w:val="es-MX"/>
        </w:rPr>
      </w:pPr>
    </w:p>
    <w:p w:rsidR="00D6311E" w:rsidRPr="00FA3473" w:rsidRDefault="00D6311E" w:rsidP="00727F29">
      <w:pPr>
        <w:spacing w:line="336" w:lineRule="auto"/>
        <w:jc w:val="both"/>
        <w:rPr>
          <w:rFonts w:ascii="Bookman Old Style" w:hAnsi="Bookman Old Style"/>
          <w:sz w:val="27"/>
          <w:szCs w:val="27"/>
          <w:lang w:val="es-MX"/>
        </w:rPr>
      </w:pPr>
      <w:r w:rsidRPr="00FA3473">
        <w:rPr>
          <w:rFonts w:ascii="Bookman Old Style" w:hAnsi="Bookman Old Style"/>
          <w:b/>
          <w:sz w:val="27"/>
          <w:szCs w:val="27"/>
          <w:lang w:val="es-MX"/>
        </w:rPr>
        <w:tab/>
        <w:t xml:space="preserve">PRIMERO. </w:t>
      </w:r>
      <w:r w:rsidRPr="00FA3473">
        <w:rPr>
          <w:rFonts w:ascii="Bookman Old Style" w:hAnsi="Bookman Old Style"/>
          <w:sz w:val="27"/>
          <w:szCs w:val="27"/>
          <w:lang w:val="es-MX"/>
        </w:rPr>
        <w:t>Por vencimiento del término máximo legal de vigencia de la detención preventiva,</w:t>
      </w:r>
      <w:r w:rsidRPr="00FA3473">
        <w:rPr>
          <w:rFonts w:ascii="Bookman Old Style" w:hAnsi="Bookman Old Style"/>
          <w:b/>
          <w:sz w:val="27"/>
          <w:szCs w:val="27"/>
          <w:lang w:val="es-MX"/>
        </w:rPr>
        <w:t xml:space="preserve"> sustituir </w:t>
      </w:r>
      <w:r w:rsidRPr="00FA3473">
        <w:rPr>
          <w:rFonts w:ascii="Bookman Old Style" w:hAnsi="Bookman Old Style"/>
          <w:sz w:val="27"/>
          <w:szCs w:val="27"/>
          <w:lang w:val="es-MX"/>
        </w:rPr>
        <w:t xml:space="preserve">la medida de aseguramiento impuesta a JULIO ENRIQUE ACOSTA BERNAL. En consecuencia, </w:t>
      </w:r>
      <w:r w:rsidRPr="00FA3473">
        <w:rPr>
          <w:rFonts w:ascii="Bookman Old Style" w:hAnsi="Bookman Old Style"/>
          <w:b/>
          <w:sz w:val="27"/>
          <w:szCs w:val="27"/>
          <w:lang w:val="es-MX"/>
        </w:rPr>
        <w:t>ordenar</w:t>
      </w:r>
      <w:r w:rsidRPr="00FA3473">
        <w:rPr>
          <w:rFonts w:ascii="Bookman Old Style" w:hAnsi="Bookman Old Style"/>
          <w:sz w:val="27"/>
          <w:szCs w:val="27"/>
          <w:lang w:val="es-MX"/>
        </w:rPr>
        <w:t xml:space="preserve"> </w:t>
      </w:r>
      <w:r w:rsidRPr="005F770D">
        <w:rPr>
          <w:rFonts w:ascii="Bookman Old Style" w:hAnsi="Bookman Old Style"/>
          <w:b/>
          <w:sz w:val="27"/>
          <w:szCs w:val="27"/>
          <w:lang w:val="es-MX"/>
        </w:rPr>
        <w:t>su libertad</w:t>
      </w:r>
      <w:r w:rsidRPr="00FA3473">
        <w:rPr>
          <w:rFonts w:ascii="Bookman Old Style" w:hAnsi="Bookman Old Style"/>
          <w:sz w:val="27"/>
          <w:szCs w:val="27"/>
          <w:lang w:val="es-MX"/>
        </w:rPr>
        <w:t xml:space="preserve">, conforme a lo expuesto en la parte motiva de esta decisión. </w:t>
      </w:r>
    </w:p>
    <w:p w:rsidR="00D6311E" w:rsidRPr="00FA3473" w:rsidRDefault="00D6311E" w:rsidP="00727F29">
      <w:pPr>
        <w:spacing w:line="336" w:lineRule="auto"/>
        <w:jc w:val="both"/>
        <w:rPr>
          <w:rFonts w:ascii="Bookman Old Style" w:hAnsi="Bookman Old Style"/>
          <w:b/>
          <w:sz w:val="27"/>
          <w:szCs w:val="27"/>
          <w:lang w:val="es-MX"/>
        </w:rPr>
      </w:pPr>
    </w:p>
    <w:p w:rsidR="00D6311E" w:rsidRPr="00FA3473" w:rsidRDefault="00D6311E" w:rsidP="00727F29">
      <w:pPr>
        <w:spacing w:line="336" w:lineRule="auto"/>
        <w:jc w:val="both"/>
        <w:rPr>
          <w:rFonts w:ascii="Bookman Old Style" w:hAnsi="Bookman Old Style"/>
          <w:sz w:val="27"/>
          <w:szCs w:val="27"/>
          <w:lang w:val="es-MX"/>
        </w:rPr>
      </w:pPr>
      <w:r w:rsidRPr="00FA3473">
        <w:rPr>
          <w:rFonts w:ascii="Bookman Old Style" w:hAnsi="Bookman Old Style"/>
          <w:b/>
          <w:sz w:val="27"/>
          <w:szCs w:val="27"/>
          <w:lang w:val="es-MX"/>
        </w:rPr>
        <w:tab/>
        <w:t>SEGUNDO.</w:t>
      </w:r>
      <w:r w:rsidRPr="00FA3473">
        <w:rPr>
          <w:rFonts w:ascii="Bookman Old Style" w:hAnsi="Bookman Old Style"/>
          <w:sz w:val="27"/>
          <w:szCs w:val="27"/>
          <w:lang w:val="es-MX"/>
        </w:rPr>
        <w:t xml:space="preserve"> Imponer a JULIO ENRIQUE ACOSTA BERNAL, como probable </w:t>
      </w:r>
      <w:r w:rsidRPr="00FA3473">
        <w:rPr>
          <w:rFonts w:ascii="Bookman Old Style" w:hAnsi="Bookman Old Style"/>
          <w:sz w:val="27"/>
          <w:szCs w:val="27"/>
        </w:rPr>
        <w:t xml:space="preserve">determinador del delito de homicidio agravado </w:t>
      </w:r>
      <w:r w:rsidRPr="005F770D">
        <w:rPr>
          <w:rFonts w:ascii="Bookman Old Style" w:hAnsi="Bookman Old Style"/>
          <w:sz w:val="25"/>
          <w:szCs w:val="25"/>
        </w:rPr>
        <w:t>(arts. 103 y 104 num. 7 y 10 del C.P.)</w:t>
      </w:r>
      <w:r w:rsidRPr="00FA3473">
        <w:rPr>
          <w:rFonts w:ascii="Bookman Old Style" w:hAnsi="Bookman Old Style"/>
          <w:sz w:val="27"/>
          <w:szCs w:val="27"/>
        </w:rPr>
        <w:t xml:space="preserve"> y autor del delito de concierto para delinquir agravado </w:t>
      </w:r>
      <w:r w:rsidRPr="005F770D">
        <w:rPr>
          <w:rFonts w:ascii="Bookman Old Style" w:hAnsi="Bookman Old Style"/>
          <w:sz w:val="25"/>
          <w:szCs w:val="25"/>
        </w:rPr>
        <w:t xml:space="preserve">(art. 340 inciso 2º </w:t>
      </w:r>
      <w:r w:rsidRPr="005F770D">
        <w:rPr>
          <w:rFonts w:ascii="Bookman Old Style" w:hAnsi="Bookman Old Style"/>
          <w:i/>
          <w:sz w:val="25"/>
          <w:szCs w:val="25"/>
        </w:rPr>
        <w:t>ídem</w:t>
      </w:r>
      <w:r w:rsidRPr="005F770D">
        <w:rPr>
          <w:rFonts w:ascii="Bookman Old Style" w:hAnsi="Bookman Old Style"/>
          <w:sz w:val="25"/>
          <w:szCs w:val="25"/>
        </w:rPr>
        <w:t>)</w:t>
      </w:r>
      <w:r w:rsidRPr="00FA3473">
        <w:rPr>
          <w:rFonts w:ascii="Bookman Old Style" w:hAnsi="Bookman Old Style"/>
          <w:sz w:val="27"/>
          <w:szCs w:val="27"/>
        </w:rPr>
        <w:t xml:space="preserve">, </w:t>
      </w:r>
      <w:r w:rsidRPr="00FA3473">
        <w:rPr>
          <w:rFonts w:ascii="Bookman Old Style" w:hAnsi="Bookman Old Style"/>
          <w:sz w:val="27"/>
          <w:szCs w:val="27"/>
          <w:lang w:val="es-MX"/>
        </w:rPr>
        <w:t xml:space="preserve">las siguientes medidas de aseguramiento no privativas de la libertad: la obligación de presentarse periódicamente cuando sea requerido por la Corte; el deber de observar buena conducta individual, familiar y social; la prohibición de salir del país y la obligación de mantener la caución prendaria en cuantía de cincuenta salarios mínimos legales mensuales </w:t>
      </w:r>
      <w:r w:rsidRPr="00FA3473">
        <w:rPr>
          <w:rFonts w:ascii="Bookman Old Style" w:hAnsi="Bookman Old Style"/>
          <w:sz w:val="27"/>
          <w:szCs w:val="27"/>
          <w:lang w:val="es-MX"/>
        </w:rPr>
        <w:lastRenderedPageBreak/>
        <w:t xml:space="preserve">vigentes, la cual ya fue consignada a nombre de esta Corporación. </w:t>
      </w:r>
    </w:p>
    <w:p w:rsidR="00D6311E" w:rsidRPr="00FA3473" w:rsidRDefault="00D6311E" w:rsidP="00727F29">
      <w:pPr>
        <w:spacing w:line="336" w:lineRule="auto"/>
        <w:ind w:firstLine="705"/>
        <w:jc w:val="both"/>
        <w:rPr>
          <w:rFonts w:ascii="Bookman Old Style" w:hAnsi="Bookman Old Style"/>
          <w:sz w:val="27"/>
          <w:szCs w:val="27"/>
          <w:lang w:val="es-MX"/>
        </w:rPr>
      </w:pPr>
    </w:p>
    <w:p w:rsidR="00D6311E" w:rsidRPr="00FA3473" w:rsidRDefault="00D6311E" w:rsidP="00727F29">
      <w:pPr>
        <w:spacing w:line="336" w:lineRule="auto"/>
        <w:jc w:val="both"/>
        <w:rPr>
          <w:rFonts w:ascii="Bookman Old Style" w:hAnsi="Bookman Old Style"/>
          <w:sz w:val="27"/>
          <w:szCs w:val="27"/>
          <w:lang w:val="es-MX"/>
        </w:rPr>
      </w:pPr>
      <w:r w:rsidRPr="00FA3473">
        <w:rPr>
          <w:rFonts w:ascii="Bookman Old Style" w:hAnsi="Bookman Old Style"/>
          <w:b/>
          <w:sz w:val="27"/>
          <w:szCs w:val="27"/>
          <w:lang w:val="es-MX"/>
        </w:rPr>
        <w:tab/>
        <w:t>TERCERO</w:t>
      </w:r>
      <w:r w:rsidR="005F770D">
        <w:rPr>
          <w:rFonts w:ascii="Bookman Old Style" w:hAnsi="Bookman Old Style"/>
          <w:sz w:val="27"/>
          <w:szCs w:val="27"/>
          <w:lang w:val="es-MX"/>
        </w:rPr>
        <w:t xml:space="preserve">. </w:t>
      </w:r>
      <w:r w:rsidRPr="00FA3473">
        <w:rPr>
          <w:rFonts w:ascii="Bookman Old Style" w:hAnsi="Bookman Old Style"/>
          <w:sz w:val="27"/>
          <w:szCs w:val="27"/>
          <w:lang w:val="es-MX"/>
        </w:rPr>
        <w:t>Por secretaría, librar</w:t>
      </w:r>
      <w:r w:rsidR="00263D15" w:rsidRPr="00FA3473">
        <w:rPr>
          <w:rFonts w:ascii="Bookman Old Style" w:hAnsi="Bookman Old Style"/>
          <w:sz w:val="27"/>
          <w:szCs w:val="27"/>
          <w:lang w:val="es-MX"/>
        </w:rPr>
        <w:t xml:space="preserve"> las comunicaciones de rigor</w:t>
      </w:r>
      <w:r w:rsidR="00727F29" w:rsidRPr="00FA3473">
        <w:rPr>
          <w:rFonts w:ascii="Bookman Old Style" w:hAnsi="Bookman Old Style"/>
          <w:sz w:val="27"/>
          <w:szCs w:val="27"/>
          <w:lang w:val="es-MX"/>
        </w:rPr>
        <w:t>.</w:t>
      </w:r>
    </w:p>
    <w:p w:rsidR="00727F29" w:rsidRPr="00FA3473" w:rsidRDefault="00727F29" w:rsidP="00727F29">
      <w:pPr>
        <w:spacing w:line="336" w:lineRule="auto"/>
        <w:jc w:val="both"/>
        <w:rPr>
          <w:rFonts w:ascii="Bookman Old Style" w:hAnsi="Bookman Old Style"/>
          <w:sz w:val="27"/>
          <w:szCs w:val="27"/>
          <w:lang w:val="es-MX"/>
        </w:rPr>
      </w:pPr>
    </w:p>
    <w:p w:rsidR="00D6311E" w:rsidRPr="00FA3473" w:rsidRDefault="00D6311E" w:rsidP="00727F29">
      <w:pPr>
        <w:spacing w:line="336" w:lineRule="auto"/>
        <w:ind w:firstLine="705"/>
        <w:jc w:val="both"/>
        <w:rPr>
          <w:rFonts w:ascii="Bookman Old Style" w:hAnsi="Bookman Old Style"/>
          <w:sz w:val="27"/>
          <w:szCs w:val="27"/>
          <w:lang w:val="es-MX"/>
        </w:rPr>
      </w:pPr>
      <w:r w:rsidRPr="00FA3473">
        <w:rPr>
          <w:rFonts w:ascii="Bookman Old Style" w:hAnsi="Bookman Old Style"/>
          <w:sz w:val="27"/>
          <w:szCs w:val="27"/>
          <w:lang w:val="es-MX"/>
        </w:rPr>
        <w:t>Contra esta decisión, procede el recurso de reposición.</w:t>
      </w:r>
    </w:p>
    <w:p w:rsidR="00D6311E" w:rsidRPr="00FA3473" w:rsidRDefault="00D6311E" w:rsidP="00727F29">
      <w:pPr>
        <w:spacing w:line="336" w:lineRule="auto"/>
        <w:ind w:firstLine="705"/>
        <w:jc w:val="both"/>
        <w:rPr>
          <w:rFonts w:ascii="Bookman Old Style" w:hAnsi="Bookman Old Style"/>
          <w:sz w:val="27"/>
          <w:szCs w:val="27"/>
          <w:lang w:val="es-MX"/>
        </w:rPr>
      </w:pPr>
    </w:p>
    <w:p w:rsidR="00D6311E" w:rsidRPr="00FA3473" w:rsidRDefault="00D6311E" w:rsidP="00727F29">
      <w:pPr>
        <w:spacing w:line="336" w:lineRule="auto"/>
        <w:ind w:firstLine="705"/>
        <w:jc w:val="both"/>
        <w:rPr>
          <w:rFonts w:ascii="Bookman Old Style" w:hAnsi="Bookman Old Style"/>
          <w:sz w:val="27"/>
          <w:szCs w:val="27"/>
          <w:lang w:val="es-MX"/>
        </w:rPr>
      </w:pPr>
      <w:r w:rsidRPr="00FA3473">
        <w:rPr>
          <w:rFonts w:ascii="Bookman Old Style" w:hAnsi="Bookman Old Style"/>
          <w:sz w:val="27"/>
          <w:szCs w:val="27"/>
          <w:lang w:val="es-MX"/>
        </w:rPr>
        <w:t xml:space="preserve">Notifíquese y cúmplase. </w:t>
      </w:r>
    </w:p>
    <w:p w:rsidR="00176CC0" w:rsidRPr="00FA3473" w:rsidRDefault="00176CC0" w:rsidP="00F85B17">
      <w:pPr>
        <w:spacing w:line="336" w:lineRule="auto"/>
        <w:ind w:right="-157" w:firstLine="708"/>
        <w:rPr>
          <w:rFonts w:ascii="Bookman Old Style" w:hAnsi="Bookman Old Style" w:cs="Bookman Old Style"/>
          <w:b/>
          <w:bCs/>
        </w:rPr>
      </w:pPr>
    </w:p>
    <w:p w:rsidR="00392F05" w:rsidRPr="00FA3473" w:rsidRDefault="00392F05" w:rsidP="00F85B17">
      <w:pPr>
        <w:spacing w:line="336" w:lineRule="auto"/>
        <w:ind w:right="-157" w:firstLine="708"/>
        <w:rPr>
          <w:rFonts w:ascii="Bookman Old Style" w:hAnsi="Bookman Old Style" w:cs="Bookman Old Style"/>
          <w:b/>
          <w:bCs/>
        </w:rPr>
      </w:pPr>
    </w:p>
    <w:p w:rsidR="002E5F6F" w:rsidRPr="00FA3473" w:rsidRDefault="002E5F6F" w:rsidP="00F85B17">
      <w:pPr>
        <w:pStyle w:val="xmsonormal"/>
        <w:shd w:val="clear" w:color="auto" w:fill="FFFFFF"/>
        <w:spacing w:before="0" w:beforeAutospacing="0" w:after="0" w:afterAutospacing="0" w:line="336" w:lineRule="auto"/>
        <w:jc w:val="center"/>
        <w:rPr>
          <w:rFonts w:ascii="Bookman Old Style" w:hAnsi="Bookman Old Style" w:cs="Segoe UI"/>
          <w:b/>
          <w:bCs/>
          <w:sz w:val="28"/>
          <w:szCs w:val="28"/>
          <w:lang w:val="es-ES"/>
        </w:rPr>
      </w:pPr>
    </w:p>
    <w:p w:rsidR="00657DB0" w:rsidRPr="00FA3473" w:rsidRDefault="00657DB0" w:rsidP="00F85B17">
      <w:pPr>
        <w:pStyle w:val="xmsonormal"/>
        <w:shd w:val="clear" w:color="auto" w:fill="FFFFFF"/>
        <w:spacing w:before="0" w:beforeAutospacing="0" w:after="0" w:afterAutospacing="0" w:line="336" w:lineRule="auto"/>
        <w:jc w:val="center"/>
        <w:rPr>
          <w:rFonts w:ascii="Segoe UI" w:hAnsi="Segoe UI" w:cs="Segoe UI"/>
          <w:sz w:val="28"/>
          <w:szCs w:val="28"/>
        </w:rPr>
      </w:pPr>
      <w:r w:rsidRPr="00FA3473">
        <w:rPr>
          <w:rFonts w:ascii="Bookman Old Style" w:hAnsi="Bookman Old Style" w:cs="Segoe UI"/>
          <w:b/>
          <w:bCs/>
          <w:sz w:val="28"/>
          <w:szCs w:val="28"/>
          <w:lang w:val="es-ES"/>
        </w:rPr>
        <w:t>EUGENIO FERNÁNDEZ CARLIER</w:t>
      </w:r>
    </w:p>
    <w:p w:rsidR="00657DB0" w:rsidRDefault="00657DB0" w:rsidP="00F85B17">
      <w:pPr>
        <w:pStyle w:val="xmsonormal"/>
        <w:shd w:val="clear" w:color="auto" w:fill="FFFFFF"/>
        <w:spacing w:before="0" w:beforeAutospacing="0" w:after="0" w:afterAutospacing="0" w:line="336" w:lineRule="auto"/>
        <w:rPr>
          <w:rFonts w:ascii="Segoe UI" w:hAnsi="Segoe UI" w:cs="Segoe UI"/>
          <w:sz w:val="28"/>
          <w:szCs w:val="28"/>
        </w:rPr>
      </w:pPr>
    </w:p>
    <w:p w:rsidR="00840A28" w:rsidRPr="00FA3473" w:rsidRDefault="00840A28" w:rsidP="00F85B17">
      <w:pPr>
        <w:pStyle w:val="xmsonormal"/>
        <w:shd w:val="clear" w:color="auto" w:fill="FFFFFF"/>
        <w:spacing w:before="0" w:beforeAutospacing="0" w:after="0" w:afterAutospacing="0" w:line="336" w:lineRule="auto"/>
        <w:rPr>
          <w:rFonts w:ascii="Segoe UI" w:hAnsi="Segoe UI" w:cs="Segoe UI"/>
          <w:sz w:val="28"/>
          <w:szCs w:val="28"/>
        </w:rPr>
      </w:pPr>
    </w:p>
    <w:p w:rsidR="00392F05" w:rsidRPr="00FA3473" w:rsidRDefault="00392F05" w:rsidP="00F85B17">
      <w:pPr>
        <w:pStyle w:val="xmsonormal"/>
        <w:shd w:val="clear" w:color="auto" w:fill="FFFFFF"/>
        <w:spacing w:before="0" w:beforeAutospacing="0" w:after="0" w:afterAutospacing="0" w:line="336" w:lineRule="auto"/>
        <w:jc w:val="center"/>
        <w:rPr>
          <w:rFonts w:ascii="Bookman Old Style" w:hAnsi="Bookman Old Style" w:cs="Segoe UI"/>
          <w:b/>
          <w:bCs/>
          <w:sz w:val="28"/>
          <w:szCs w:val="28"/>
          <w:lang w:val="es-ES"/>
        </w:rPr>
      </w:pPr>
    </w:p>
    <w:p w:rsidR="00657DB0" w:rsidRPr="00FA3473" w:rsidRDefault="00657DB0" w:rsidP="00F85B17">
      <w:pPr>
        <w:pStyle w:val="xmsonormal"/>
        <w:shd w:val="clear" w:color="auto" w:fill="FFFFFF"/>
        <w:spacing w:before="0" w:beforeAutospacing="0" w:after="0" w:afterAutospacing="0" w:line="336" w:lineRule="auto"/>
        <w:jc w:val="center"/>
        <w:rPr>
          <w:rFonts w:ascii="Segoe UI" w:hAnsi="Segoe UI" w:cs="Segoe UI"/>
          <w:sz w:val="28"/>
          <w:szCs w:val="28"/>
        </w:rPr>
      </w:pPr>
      <w:r w:rsidRPr="00FA3473">
        <w:rPr>
          <w:rFonts w:ascii="Bookman Old Style" w:hAnsi="Bookman Old Style" w:cs="Segoe UI"/>
          <w:b/>
          <w:bCs/>
          <w:sz w:val="28"/>
          <w:szCs w:val="28"/>
          <w:lang w:val="es-ES"/>
        </w:rPr>
        <w:t> JOSÉ FRANCISCO ACUÑA VIZCAYA</w:t>
      </w:r>
    </w:p>
    <w:p w:rsidR="00657DB0" w:rsidRPr="00FA3473" w:rsidRDefault="00657DB0" w:rsidP="00F85B17">
      <w:pPr>
        <w:pStyle w:val="xmsonormal"/>
        <w:shd w:val="clear" w:color="auto" w:fill="FFFFFF"/>
        <w:spacing w:before="0" w:beforeAutospacing="0" w:after="0" w:afterAutospacing="0" w:line="336" w:lineRule="auto"/>
        <w:jc w:val="center"/>
        <w:rPr>
          <w:rFonts w:ascii="Segoe UI" w:hAnsi="Segoe UI" w:cs="Segoe UI"/>
          <w:sz w:val="28"/>
          <w:szCs w:val="28"/>
        </w:rPr>
      </w:pPr>
      <w:r w:rsidRPr="00FA3473">
        <w:rPr>
          <w:rFonts w:ascii="Bookman Old Style" w:hAnsi="Bookman Old Style" w:cs="Segoe UI"/>
          <w:b/>
          <w:bCs/>
          <w:sz w:val="28"/>
          <w:szCs w:val="28"/>
          <w:lang w:val="es-ES"/>
        </w:rPr>
        <w:t> </w:t>
      </w:r>
    </w:p>
    <w:p w:rsidR="00657DB0" w:rsidRPr="00FA3473" w:rsidRDefault="00657DB0" w:rsidP="00F85B17">
      <w:pPr>
        <w:pStyle w:val="xmsonormal"/>
        <w:shd w:val="clear" w:color="auto" w:fill="FFFFFF"/>
        <w:spacing w:before="0" w:beforeAutospacing="0" w:after="0" w:afterAutospacing="0" w:line="336" w:lineRule="auto"/>
        <w:jc w:val="center"/>
        <w:rPr>
          <w:rFonts w:ascii="Bookman Old Style" w:hAnsi="Bookman Old Style" w:cs="Segoe UI"/>
          <w:b/>
          <w:bCs/>
          <w:sz w:val="28"/>
          <w:szCs w:val="28"/>
          <w:lang w:val="es-ES"/>
        </w:rPr>
      </w:pPr>
      <w:r w:rsidRPr="00FA3473">
        <w:rPr>
          <w:rFonts w:ascii="Bookman Old Style" w:hAnsi="Bookman Old Style" w:cs="Segoe UI"/>
          <w:b/>
          <w:bCs/>
          <w:sz w:val="28"/>
          <w:szCs w:val="28"/>
          <w:lang w:val="es-ES"/>
        </w:rPr>
        <w:t> </w:t>
      </w:r>
    </w:p>
    <w:p w:rsidR="002E5F6F" w:rsidRDefault="002E5F6F" w:rsidP="00F85B17">
      <w:pPr>
        <w:pStyle w:val="xmsonormal"/>
        <w:shd w:val="clear" w:color="auto" w:fill="FFFFFF"/>
        <w:spacing w:before="0" w:beforeAutospacing="0" w:after="0" w:afterAutospacing="0" w:line="336" w:lineRule="auto"/>
        <w:jc w:val="center"/>
        <w:rPr>
          <w:rFonts w:ascii="Bookman Old Style" w:hAnsi="Bookman Old Style" w:cs="Segoe UI"/>
          <w:b/>
          <w:bCs/>
          <w:sz w:val="28"/>
          <w:szCs w:val="28"/>
          <w:lang w:val="es-ES"/>
        </w:rPr>
      </w:pPr>
    </w:p>
    <w:p w:rsidR="00657DB0" w:rsidRPr="00FA3473" w:rsidRDefault="00657DB0" w:rsidP="00F85B17">
      <w:pPr>
        <w:pStyle w:val="xmsonormal"/>
        <w:shd w:val="clear" w:color="auto" w:fill="FFFFFF"/>
        <w:spacing w:before="0" w:beforeAutospacing="0" w:after="0" w:afterAutospacing="0" w:line="336" w:lineRule="auto"/>
        <w:jc w:val="center"/>
        <w:rPr>
          <w:rFonts w:ascii="Segoe UI" w:hAnsi="Segoe UI" w:cs="Segoe UI"/>
          <w:sz w:val="28"/>
          <w:szCs w:val="28"/>
        </w:rPr>
      </w:pPr>
      <w:r w:rsidRPr="00FA3473">
        <w:rPr>
          <w:rFonts w:ascii="Bookman Old Style" w:hAnsi="Bookman Old Style" w:cs="Segoe UI"/>
          <w:b/>
          <w:bCs/>
          <w:sz w:val="28"/>
          <w:szCs w:val="28"/>
          <w:lang w:val="es-ES"/>
        </w:rPr>
        <w:t>JOSÉ LUIS BARCELÓ CAMACHO</w:t>
      </w:r>
    </w:p>
    <w:p w:rsidR="009A3CFA" w:rsidRPr="00FA3473" w:rsidRDefault="009A3CFA" w:rsidP="00F85B17">
      <w:pPr>
        <w:pStyle w:val="xmsonormal"/>
        <w:shd w:val="clear" w:color="auto" w:fill="FFFFFF"/>
        <w:spacing w:before="0" w:beforeAutospacing="0" w:after="0" w:afterAutospacing="0" w:line="336" w:lineRule="auto"/>
        <w:jc w:val="center"/>
        <w:rPr>
          <w:rFonts w:ascii="Bookman Old Style" w:hAnsi="Bookman Old Style" w:cs="Segoe UI"/>
          <w:b/>
          <w:bCs/>
          <w:sz w:val="28"/>
          <w:szCs w:val="28"/>
          <w:lang w:val="es-ES"/>
        </w:rPr>
      </w:pPr>
    </w:p>
    <w:p w:rsidR="00392F05" w:rsidRPr="00FA3473" w:rsidRDefault="00392F05" w:rsidP="00F85B17">
      <w:pPr>
        <w:pStyle w:val="xmsonormal"/>
        <w:shd w:val="clear" w:color="auto" w:fill="FFFFFF"/>
        <w:spacing w:before="0" w:beforeAutospacing="0" w:after="0" w:afterAutospacing="0" w:line="336" w:lineRule="auto"/>
        <w:jc w:val="center"/>
        <w:rPr>
          <w:rFonts w:ascii="Bookman Old Style" w:hAnsi="Bookman Old Style" w:cs="Segoe UI"/>
          <w:b/>
          <w:bCs/>
          <w:sz w:val="28"/>
          <w:szCs w:val="28"/>
          <w:lang w:val="es-ES"/>
        </w:rPr>
      </w:pPr>
    </w:p>
    <w:p w:rsidR="00840A28" w:rsidRDefault="00840A28" w:rsidP="00F85B17">
      <w:pPr>
        <w:pStyle w:val="xmsonormal"/>
        <w:shd w:val="clear" w:color="auto" w:fill="FFFFFF"/>
        <w:spacing w:before="0" w:beforeAutospacing="0" w:after="0" w:afterAutospacing="0" w:line="336" w:lineRule="auto"/>
        <w:jc w:val="center"/>
        <w:rPr>
          <w:rFonts w:ascii="Bookman Old Style" w:hAnsi="Bookman Old Style" w:cs="Segoe UI"/>
          <w:b/>
          <w:bCs/>
          <w:sz w:val="28"/>
          <w:szCs w:val="28"/>
          <w:lang w:val="es-ES"/>
        </w:rPr>
      </w:pPr>
    </w:p>
    <w:p w:rsidR="00657DB0" w:rsidRPr="00FA3473" w:rsidRDefault="00657DB0" w:rsidP="00F85B17">
      <w:pPr>
        <w:pStyle w:val="xmsonormal"/>
        <w:shd w:val="clear" w:color="auto" w:fill="FFFFFF"/>
        <w:spacing w:before="0" w:beforeAutospacing="0" w:after="0" w:afterAutospacing="0" w:line="336" w:lineRule="auto"/>
        <w:jc w:val="center"/>
        <w:rPr>
          <w:rFonts w:ascii="Segoe UI" w:hAnsi="Segoe UI" w:cs="Segoe UI"/>
          <w:sz w:val="28"/>
          <w:szCs w:val="28"/>
        </w:rPr>
      </w:pPr>
      <w:r w:rsidRPr="00FA3473">
        <w:rPr>
          <w:rFonts w:ascii="Bookman Old Style" w:hAnsi="Bookman Old Style" w:cs="Segoe UI"/>
          <w:b/>
          <w:bCs/>
          <w:sz w:val="28"/>
          <w:szCs w:val="28"/>
          <w:lang w:val="es-ES"/>
        </w:rPr>
        <w:t> FERNANDO ALBERTO CASTRO CABALLERO</w:t>
      </w:r>
    </w:p>
    <w:p w:rsidR="00657DB0" w:rsidRPr="00FA3473" w:rsidRDefault="00657DB0" w:rsidP="00F85B17">
      <w:pPr>
        <w:pStyle w:val="xmsonormal"/>
        <w:shd w:val="clear" w:color="auto" w:fill="FFFFFF"/>
        <w:spacing w:before="0" w:beforeAutospacing="0" w:after="0" w:afterAutospacing="0" w:line="336" w:lineRule="auto"/>
        <w:rPr>
          <w:rFonts w:ascii="Bookman Old Style" w:hAnsi="Bookman Old Style" w:cs="Segoe UI"/>
          <w:b/>
          <w:bCs/>
          <w:sz w:val="28"/>
          <w:szCs w:val="28"/>
          <w:lang w:val="es-ES"/>
        </w:rPr>
      </w:pPr>
      <w:r w:rsidRPr="00FA3473">
        <w:rPr>
          <w:rFonts w:ascii="Bookman Old Style" w:hAnsi="Bookman Old Style" w:cs="Segoe UI"/>
          <w:b/>
          <w:bCs/>
          <w:sz w:val="28"/>
          <w:szCs w:val="28"/>
          <w:lang w:val="es-ES"/>
        </w:rPr>
        <w:t>   </w:t>
      </w:r>
    </w:p>
    <w:p w:rsidR="009A3CFA" w:rsidRDefault="009A3CFA" w:rsidP="00F85B17">
      <w:pPr>
        <w:pStyle w:val="xmsonormal"/>
        <w:shd w:val="clear" w:color="auto" w:fill="FFFFFF"/>
        <w:spacing w:before="0" w:beforeAutospacing="0" w:after="0" w:afterAutospacing="0" w:line="336" w:lineRule="auto"/>
        <w:rPr>
          <w:rFonts w:ascii="Segoe UI" w:hAnsi="Segoe UI" w:cs="Segoe UI"/>
          <w:sz w:val="28"/>
          <w:szCs w:val="28"/>
        </w:rPr>
      </w:pPr>
    </w:p>
    <w:p w:rsidR="00840A28" w:rsidRDefault="00840A28" w:rsidP="00F85B17">
      <w:pPr>
        <w:pStyle w:val="xmsonormal"/>
        <w:shd w:val="clear" w:color="auto" w:fill="FFFFFF"/>
        <w:spacing w:before="0" w:beforeAutospacing="0" w:after="0" w:afterAutospacing="0" w:line="336" w:lineRule="auto"/>
        <w:rPr>
          <w:rFonts w:ascii="Segoe UI" w:hAnsi="Segoe UI" w:cs="Segoe UI"/>
          <w:sz w:val="28"/>
          <w:szCs w:val="28"/>
        </w:rPr>
      </w:pPr>
    </w:p>
    <w:p w:rsidR="0018752D" w:rsidRPr="00FA3473" w:rsidRDefault="0018752D" w:rsidP="00F85B17">
      <w:pPr>
        <w:pStyle w:val="xmsonormal"/>
        <w:shd w:val="clear" w:color="auto" w:fill="FFFFFF"/>
        <w:spacing w:before="0" w:beforeAutospacing="0" w:after="0" w:afterAutospacing="0" w:line="336" w:lineRule="auto"/>
        <w:rPr>
          <w:rFonts w:ascii="Segoe UI" w:hAnsi="Segoe UI" w:cs="Segoe UI"/>
          <w:sz w:val="28"/>
          <w:szCs w:val="28"/>
        </w:rPr>
      </w:pPr>
    </w:p>
    <w:p w:rsidR="00657DB0" w:rsidRPr="00FA3473" w:rsidRDefault="00657DB0" w:rsidP="00F85B17">
      <w:pPr>
        <w:pStyle w:val="xmsonormal"/>
        <w:shd w:val="clear" w:color="auto" w:fill="FFFFFF"/>
        <w:spacing w:before="0" w:beforeAutospacing="0" w:after="0" w:afterAutospacing="0" w:line="336" w:lineRule="auto"/>
        <w:jc w:val="center"/>
        <w:rPr>
          <w:rFonts w:ascii="Segoe UI" w:hAnsi="Segoe UI" w:cs="Segoe UI"/>
          <w:sz w:val="28"/>
          <w:szCs w:val="28"/>
        </w:rPr>
      </w:pPr>
      <w:r w:rsidRPr="00FA3473">
        <w:rPr>
          <w:rFonts w:ascii="Bookman Old Style" w:hAnsi="Bookman Old Style" w:cs="Segoe UI"/>
          <w:b/>
          <w:bCs/>
          <w:sz w:val="28"/>
          <w:szCs w:val="28"/>
          <w:lang w:val="es-ES"/>
        </w:rPr>
        <w:t>LUIS ANTONIO HERNÁNDEZ BARBOSA</w:t>
      </w:r>
    </w:p>
    <w:p w:rsidR="00657DB0" w:rsidRPr="00FA3473" w:rsidRDefault="00657DB0" w:rsidP="00F85B17">
      <w:pPr>
        <w:pStyle w:val="xmsonormal"/>
        <w:shd w:val="clear" w:color="auto" w:fill="FFFFFF"/>
        <w:spacing w:before="0" w:beforeAutospacing="0" w:after="0" w:afterAutospacing="0" w:line="336" w:lineRule="auto"/>
        <w:jc w:val="center"/>
        <w:rPr>
          <w:rFonts w:ascii="Segoe UI" w:hAnsi="Segoe UI" w:cs="Segoe UI"/>
          <w:sz w:val="28"/>
          <w:szCs w:val="28"/>
        </w:rPr>
      </w:pPr>
      <w:r w:rsidRPr="00FA3473">
        <w:rPr>
          <w:rFonts w:ascii="Bookman Old Style" w:hAnsi="Bookman Old Style" w:cs="Segoe UI"/>
          <w:b/>
          <w:bCs/>
          <w:sz w:val="28"/>
          <w:szCs w:val="28"/>
          <w:lang w:val="es-ES"/>
        </w:rPr>
        <w:t> </w:t>
      </w:r>
    </w:p>
    <w:p w:rsidR="00392F05" w:rsidRPr="00FA3473" w:rsidRDefault="00392F05" w:rsidP="00F85B17">
      <w:pPr>
        <w:pStyle w:val="xmsonormal"/>
        <w:shd w:val="clear" w:color="auto" w:fill="FFFFFF"/>
        <w:spacing w:before="0" w:beforeAutospacing="0" w:after="0" w:afterAutospacing="0" w:line="336" w:lineRule="auto"/>
        <w:jc w:val="center"/>
        <w:rPr>
          <w:rFonts w:ascii="Bookman Old Style" w:hAnsi="Bookman Old Style" w:cs="Segoe UI"/>
          <w:b/>
          <w:bCs/>
          <w:sz w:val="28"/>
          <w:szCs w:val="28"/>
          <w:lang w:val="es-ES"/>
        </w:rPr>
      </w:pPr>
    </w:p>
    <w:p w:rsidR="00657DB0" w:rsidRPr="00FA3473" w:rsidRDefault="00657DB0" w:rsidP="00F85B17">
      <w:pPr>
        <w:pStyle w:val="xmsonormal"/>
        <w:shd w:val="clear" w:color="auto" w:fill="FFFFFF"/>
        <w:spacing w:before="0" w:beforeAutospacing="0" w:after="0" w:afterAutospacing="0" w:line="336" w:lineRule="auto"/>
        <w:jc w:val="center"/>
        <w:rPr>
          <w:rFonts w:ascii="Segoe UI" w:hAnsi="Segoe UI" w:cs="Segoe UI"/>
          <w:sz w:val="28"/>
          <w:szCs w:val="28"/>
        </w:rPr>
      </w:pPr>
      <w:r w:rsidRPr="00FA3473">
        <w:rPr>
          <w:rFonts w:ascii="Bookman Old Style" w:hAnsi="Bookman Old Style" w:cs="Segoe UI"/>
          <w:b/>
          <w:bCs/>
          <w:sz w:val="28"/>
          <w:szCs w:val="28"/>
          <w:lang w:val="es-ES"/>
        </w:rPr>
        <w:t> </w:t>
      </w:r>
    </w:p>
    <w:p w:rsidR="00657DB0" w:rsidRPr="00FA3473" w:rsidRDefault="00657DB0" w:rsidP="00F85B17">
      <w:pPr>
        <w:pStyle w:val="xmsonormal"/>
        <w:shd w:val="clear" w:color="auto" w:fill="FFFFFF"/>
        <w:spacing w:before="0" w:beforeAutospacing="0" w:after="0" w:afterAutospacing="0" w:line="336" w:lineRule="auto"/>
        <w:jc w:val="center"/>
        <w:rPr>
          <w:rFonts w:ascii="Segoe UI" w:hAnsi="Segoe UI" w:cs="Segoe UI"/>
          <w:sz w:val="28"/>
          <w:szCs w:val="28"/>
        </w:rPr>
      </w:pPr>
      <w:r w:rsidRPr="00FA3473">
        <w:rPr>
          <w:rFonts w:ascii="Bookman Old Style" w:hAnsi="Bookman Old Style" w:cs="Segoe UI"/>
          <w:b/>
          <w:bCs/>
          <w:sz w:val="28"/>
          <w:szCs w:val="28"/>
          <w:lang w:val="es-ES"/>
        </w:rPr>
        <w:t>GUSTAVO ENRIQUE MALO FERNÁNDEZ</w:t>
      </w:r>
    </w:p>
    <w:p w:rsidR="00392F05" w:rsidRPr="00FA3473" w:rsidRDefault="00392F05" w:rsidP="00F85B17">
      <w:pPr>
        <w:pStyle w:val="xmsonormal"/>
        <w:shd w:val="clear" w:color="auto" w:fill="FFFFFF"/>
        <w:spacing w:before="0" w:beforeAutospacing="0" w:after="0" w:afterAutospacing="0" w:line="336" w:lineRule="auto"/>
        <w:jc w:val="center"/>
        <w:rPr>
          <w:rFonts w:ascii="Bookman Old Style" w:hAnsi="Bookman Old Style" w:cs="Segoe UI"/>
          <w:b/>
          <w:bCs/>
          <w:sz w:val="28"/>
          <w:szCs w:val="28"/>
          <w:lang w:val="es-ES"/>
        </w:rPr>
      </w:pPr>
    </w:p>
    <w:p w:rsidR="00392F05" w:rsidRPr="00FA3473" w:rsidRDefault="00392F05" w:rsidP="00F85B17">
      <w:pPr>
        <w:pStyle w:val="xmsonormal"/>
        <w:shd w:val="clear" w:color="auto" w:fill="FFFFFF"/>
        <w:spacing w:before="0" w:beforeAutospacing="0" w:after="0" w:afterAutospacing="0" w:line="336" w:lineRule="auto"/>
        <w:jc w:val="center"/>
        <w:rPr>
          <w:rFonts w:ascii="Bookman Old Style" w:hAnsi="Bookman Old Style" w:cs="Segoe UI"/>
          <w:b/>
          <w:bCs/>
          <w:sz w:val="28"/>
          <w:szCs w:val="28"/>
          <w:lang w:val="es-ES"/>
        </w:rPr>
      </w:pPr>
    </w:p>
    <w:p w:rsidR="00392F05" w:rsidRPr="00FA3473" w:rsidRDefault="00392F05" w:rsidP="00F85B17">
      <w:pPr>
        <w:pStyle w:val="xmsonormal"/>
        <w:shd w:val="clear" w:color="auto" w:fill="FFFFFF"/>
        <w:spacing w:before="0" w:beforeAutospacing="0" w:after="0" w:afterAutospacing="0" w:line="336" w:lineRule="auto"/>
        <w:jc w:val="center"/>
        <w:rPr>
          <w:rFonts w:ascii="Bookman Old Style" w:hAnsi="Bookman Old Style" w:cs="Segoe UI"/>
          <w:b/>
          <w:bCs/>
          <w:sz w:val="28"/>
          <w:szCs w:val="28"/>
          <w:lang w:val="es-ES"/>
        </w:rPr>
      </w:pPr>
    </w:p>
    <w:p w:rsidR="00657DB0" w:rsidRPr="00FA3473" w:rsidRDefault="00657DB0" w:rsidP="00F85B17">
      <w:pPr>
        <w:pStyle w:val="xmsonormal"/>
        <w:shd w:val="clear" w:color="auto" w:fill="FFFFFF"/>
        <w:spacing w:before="0" w:beforeAutospacing="0" w:after="0" w:afterAutospacing="0" w:line="336" w:lineRule="auto"/>
        <w:jc w:val="center"/>
        <w:rPr>
          <w:rFonts w:ascii="Segoe UI" w:hAnsi="Segoe UI" w:cs="Segoe UI"/>
          <w:sz w:val="28"/>
          <w:szCs w:val="28"/>
        </w:rPr>
      </w:pPr>
      <w:r w:rsidRPr="00FA3473">
        <w:rPr>
          <w:rFonts w:ascii="Bookman Old Style" w:hAnsi="Bookman Old Style" w:cs="Segoe UI"/>
          <w:b/>
          <w:bCs/>
          <w:sz w:val="28"/>
          <w:szCs w:val="28"/>
          <w:lang w:val="es-ES"/>
        </w:rPr>
        <w:t>EYDER PATIÑO CABRERA</w:t>
      </w:r>
    </w:p>
    <w:p w:rsidR="00657DB0" w:rsidRPr="00FA3473" w:rsidRDefault="00657DB0" w:rsidP="00F85B17">
      <w:pPr>
        <w:pStyle w:val="xmsonormal"/>
        <w:shd w:val="clear" w:color="auto" w:fill="FFFFFF"/>
        <w:spacing w:before="0" w:beforeAutospacing="0" w:after="0" w:afterAutospacing="0" w:line="336" w:lineRule="auto"/>
        <w:jc w:val="center"/>
        <w:rPr>
          <w:rFonts w:ascii="Segoe UI" w:hAnsi="Segoe UI" w:cs="Segoe UI"/>
          <w:sz w:val="28"/>
          <w:szCs w:val="28"/>
        </w:rPr>
      </w:pPr>
      <w:r w:rsidRPr="00FA3473">
        <w:rPr>
          <w:rFonts w:ascii="Bookman Old Style" w:hAnsi="Bookman Old Style" w:cs="Segoe UI"/>
          <w:b/>
          <w:bCs/>
          <w:sz w:val="28"/>
          <w:szCs w:val="28"/>
          <w:lang w:val="es-ES"/>
        </w:rPr>
        <w:t>  </w:t>
      </w:r>
    </w:p>
    <w:p w:rsidR="00657DB0" w:rsidRPr="00FA3473" w:rsidRDefault="00657DB0" w:rsidP="00F85B17">
      <w:pPr>
        <w:pStyle w:val="xmsonormal"/>
        <w:shd w:val="clear" w:color="auto" w:fill="FFFFFF"/>
        <w:spacing w:before="0" w:beforeAutospacing="0" w:after="0" w:afterAutospacing="0" w:line="336" w:lineRule="auto"/>
        <w:jc w:val="center"/>
        <w:rPr>
          <w:rFonts w:ascii="Bookman Old Style" w:hAnsi="Bookman Old Style" w:cs="Segoe UI"/>
          <w:b/>
          <w:bCs/>
          <w:sz w:val="28"/>
          <w:szCs w:val="28"/>
          <w:lang w:val="es-ES"/>
        </w:rPr>
      </w:pPr>
      <w:r w:rsidRPr="00FA3473">
        <w:rPr>
          <w:rFonts w:ascii="Bookman Old Style" w:hAnsi="Bookman Old Style" w:cs="Segoe UI"/>
          <w:b/>
          <w:bCs/>
          <w:sz w:val="28"/>
          <w:szCs w:val="28"/>
          <w:lang w:val="es-ES"/>
        </w:rPr>
        <w:t> </w:t>
      </w:r>
    </w:p>
    <w:p w:rsidR="00392F05" w:rsidRPr="00FA3473" w:rsidRDefault="00392F05" w:rsidP="00F85B17">
      <w:pPr>
        <w:pStyle w:val="xmsonormal"/>
        <w:shd w:val="clear" w:color="auto" w:fill="FFFFFF"/>
        <w:spacing w:before="0" w:beforeAutospacing="0" w:after="0" w:afterAutospacing="0" w:line="336" w:lineRule="auto"/>
        <w:jc w:val="center"/>
        <w:rPr>
          <w:rFonts w:ascii="Segoe UI" w:hAnsi="Segoe UI" w:cs="Segoe UI"/>
          <w:sz w:val="28"/>
          <w:szCs w:val="28"/>
        </w:rPr>
      </w:pPr>
    </w:p>
    <w:p w:rsidR="00657DB0" w:rsidRPr="00FA3473" w:rsidRDefault="00657DB0" w:rsidP="00F85B17">
      <w:pPr>
        <w:pStyle w:val="xmsonormal"/>
        <w:shd w:val="clear" w:color="auto" w:fill="FFFFFF"/>
        <w:spacing w:before="0" w:beforeAutospacing="0" w:after="0" w:afterAutospacing="0" w:line="336" w:lineRule="auto"/>
        <w:jc w:val="center"/>
        <w:rPr>
          <w:rFonts w:ascii="Segoe UI" w:hAnsi="Segoe UI" w:cs="Segoe UI"/>
          <w:sz w:val="28"/>
          <w:szCs w:val="28"/>
        </w:rPr>
      </w:pPr>
      <w:r w:rsidRPr="00FA3473">
        <w:rPr>
          <w:rFonts w:ascii="Bookman Old Style" w:hAnsi="Bookman Old Style" w:cs="Segoe UI"/>
          <w:b/>
          <w:bCs/>
          <w:sz w:val="28"/>
          <w:szCs w:val="28"/>
          <w:lang w:val="es-ES"/>
        </w:rPr>
        <w:t>PATRICIA SALAZAR CUÉLLAR</w:t>
      </w:r>
    </w:p>
    <w:p w:rsidR="0005127F" w:rsidRPr="00FA3473" w:rsidRDefault="0005127F" w:rsidP="00F85B17">
      <w:pPr>
        <w:pStyle w:val="xmsonormal"/>
        <w:shd w:val="clear" w:color="auto" w:fill="FFFFFF"/>
        <w:spacing w:before="0" w:beforeAutospacing="0" w:after="0" w:afterAutospacing="0" w:line="336" w:lineRule="auto"/>
        <w:jc w:val="center"/>
        <w:rPr>
          <w:rFonts w:ascii="Bookman Old Style" w:hAnsi="Bookman Old Style" w:cs="Segoe UI"/>
          <w:b/>
          <w:bCs/>
          <w:sz w:val="28"/>
          <w:szCs w:val="28"/>
          <w:lang w:val="es-ES"/>
        </w:rPr>
      </w:pPr>
    </w:p>
    <w:p w:rsidR="00657DB0" w:rsidRPr="00FA3473" w:rsidRDefault="00657DB0" w:rsidP="00F85B17">
      <w:pPr>
        <w:pStyle w:val="xmsonormal"/>
        <w:shd w:val="clear" w:color="auto" w:fill="FFFFFF"/>
        <w:spacing w:before="0" w:beforeAutospacing="0" w:after="0" w:afterAutospacing="0" w:line="336" w:lineRule="auto"/>
        <w:jc w:val="center"/>
        <w:rPr>
          <w:rFonts w:ascii="Bookman Old Style" w:hAnsi="Bookman Old Style" w:cs="Segoe UI"/>
          <w:b/>
          <w:bCs/>
          <w:sz w:val="28"/>
          <w:szCs w:val="28"/>
          <w:lang w:val="es-ES"/>
        </w:rPr>
      </w:pPr>
      <w:r w:rsidRPr="00FA3473">
        <w:rPr>
          <w:rFonts w:ascii="Bookman Old Style" w:hAnsi="Bookman Old Style" w:cs="Segoe UI"/>
          <w:b/>
          <w:bCs/>
          <w:sz w:val="28"/>
          <w:szCs w:val="28"/>
          <w:lang w:val="es-ES"/>
        </w:rPr>
        <w:t>  </w:t>
      </w:r>
    </w:p>
    <w:p w:rsidR="00392F05" w:rsidRPr="00FA3473" w:rsidRDefault="00392F05" w:rsidP="00F85B17">
      <w:pPr>
        <w:pStyle w:val="xmsonormal"/>
        <w:shd w:val="clear" w:color="auto" w:fill="FFFFFF"/>
        <w:spacing w:before="0" w:beforeAutospacing="0" w:after="0" w:afterAutospacing="0" w:line="336" w:lineRule="auto"/>
        <w:jc w:val="center"/>
        <w:rPr>
          <w:rFonts w:ascii="Segoe UI" w:hAnsi="Segoe UI" w:cs="Segoe UI"/>
          <w:sz w:val="28"/>
          <w:szCs w:val="28"/>
        </w:rPr>
      </w:pPr>
    </w:p>
    <w:p w:rsidR="00657DB0" w:rsidRPr="00FA3473" w:rsidRDefault="00657DB0" w:rsidP="00F85B17">
      <w:pPr>
        <w:pStyle w:val="xmsonormal"/>
        <w:shd w:val="clear" w:color="auto" w:fill="FFFFFF"/>
        <w:spacing w:before="0" w:beforeAutospacing="0" w:after="0" w:afterAutospacing="0" w:line="336" w:lineRule="auto"/>
        <w:jc w:val="center"/>
        <w:rPr>
          <w:rFonts w:ascii="Segoe UI" w:hAnsi="Segoe UI" w:cs="Segoe UI"/>
          <w:sz w:val="28"/>
          <w:szCs w:val="28"/>
        </w:rPr>
      </w:pPr>
      <w:r w:rsidRPr="00FA3473">
        <w:rPr>
          <w:rFonts w:ascii="Bookman Old Style" w:hAnsi="Bookman Old Style" w:cs="Segoe UI"/>
          <w:b/>
          <w:bCs/>
          <w:sz w:val="28"/>
          <w:szCs w:val="28"/>
          <w:lang w:val="es-ES"/>
        </w:rPr>
        <w:t>LUIS GUILLERMO SALAZAR OTERO</w:t>
      </w:r>
    </w:p>
    <w:p w:rsidR="00840A28" w:rsidRPr="00FA3473" w:rsidRDefault="00840A28" w:rsidP="00F85B17">
      <w:pPr>
        <w:pStyle w:val="xmsonormal"/>
        <w:shd w:val="clear" w:color="auto" w:fill="FFFFFF"/>
        <w:spacing w:before="0" w:beforeAutospacing="0" w:after="0" w:afterAutospacing="0" w:line="336" w:lineRule="auto"/>
        <w:jc w:val="center"/>
        <w:rPr>
          <w:rFonts w:ascii="Bookman Old Style" w:hAnsi="Bookman Old Style" w:cs="Segoe UI"/>
          <w:b/>
          <w:bCs/>
          <w:sz w:val="28"/>
          <w:szCs w:val="28"/>
          <w:lang w:val="es-ES"/>
        </w:rPr>
      </w:pPr>
    </w:p>
    <w:p w:rsidR="00392F05" w:rsidRDefault="00392F05" w:rsidP="00F85B17">
      <w:pPr>
        <w:pStyle w:val="xmsonormal"/>
        <w:shd w:val="clear" w:color="auto" w:fill="FFFFFF"/>
        <w:spacing w:before="0" w:beforeAutospacing="0" w:after="0" w:afterAutospacing="0" w:line="336" w:lineRule="auto"/>
        <w:jc w:val="center"/>
        <w:rPr>
          <w:rFonts w:ascii="Segoe UI" w:hAnsi="Segoe UI" w:cs="Segoe UI"/>
          <w:sz w:val="28"/>
          <w:szCs w:val="28"/>
        </w:rPr>
      </w:pPr>
    </w:p>
    <w:p w:rsidR="00916D77" w:rsidRPr="00FA3473" w:rsidRDefault="00916D77" w:rsidP="00F85B17">
      <w:pPr>
        <w:pStyle w:val="xmsonormal"/>
        <w:shd w:val="clear" w:color="auto" w:fill="FFFFFF"/>
        <w:spacing w:before="0" w:beforeAutospacing="0" w:after="0" w:afterAutospacing="0" w:line="336" w:lineRule="auto"/>
        <w:jc w:val="center"/>
        <w:rPr>
          <w:rFonts w:ascii="Segoe UI" w:hAnsi="Segoe UI" w:cs="Segoe UI"/>
          <w:sz w:val="28"/>
          <w:szCs w:val="28"/>
        </w:rPr>
      </w:pPr>
    </w:p>
    <w:p w:rsidR="00657DB0" w:rsidRPr="00FA3473" w:rsidRDefault="00657DB0" w:rsidP="00392F05">
      <w:pPr>
        <w:pStyle w:val="xmsonormal"/>
        <w:shd w:val="clear" w:color="auto" w:fill="FFFFFF"/>
        <w:spacing w:before="0" w:beforeAutospacing="0" w:after="0" w:afterAutospacing="0"/>
        <w:jc w:val="center"/>
        <w:rPr>
          <w:rFonts w:ascii="Segoe UI" w:hAnsi="Segoe UI" w:cs="Segoe UI"/>
          <w:sz w:val="28"/>
          <w:szCs w:val="28"/>
        </w:rPr>
      </w:pPr>
      <w:r w:rsidRPr="00FA3473">
        <w:rPr>
          <w:rFonts w:ascii="Bookman Old Style" w:hAnsi="Bookman Old Style" w:cs="Segoe UI"/>
          <w:b/>
          <w:bCs/>
          <w:sz w:val="28"/>
          <w:szCs w:val="28"/>
          <w:lang w:val="es-ES"/>
        </w:rPr>
        <w:t> </w:t>
      </w:r>
      <w:r w:rsidRPr="00FA3473">
        <w:rPr>
          <w:rFonts w:ascii="Bookman Old Style" w:hAnsi="Bookman Old Style" w:cs="Segoe UI"/>
          <w:bCs/>
          <w:sz w:val="28"/>
          <w:szCs w:val="28"/>
          <w:lang w:val="es-ES"/>
        </w:rPr>
        <w:t>NUBIA YOLANDA NOVA GARCÍA</w:t>
      </w:r>
    </w:p>
    <w:p w:rsidR="00AE7CB3" w:rsidRDefault="00657DB0" w:rsidP="00392F05">
      <w:pPr>
        <w:pStyle w:val="Ttulo1"/>
        <w:shd w:val="clear" w:color="auto" w:fill="FFFFFF"/>
        <w:jc w:val="center"/>
        <w:rPr>
          <w:rFonts w:ascii="Bookman Old Style" w:hAnsi="Bookman Old Style" w:cs="Segoe UI"/>
          <w:b w:val="0"/>
          <w:sz w:val="28"/>
          <w:szCs w:val="28"/>
          <w:lang w:val="es-ES"/>
        </w:rPr>
      </w:pPr>
      <w:r w:rsidRPr="00FA3473">
        <w:rPr>
          <w:rFonts w:ascii="Bookman Old Style" w:hAnsi="Bookman Old Style" w:cs="Segoe UI"/>
          <w:b w:val="0"/>
          <w:sz w:val="28"/>
          <w:szCs w:val="28"/>
          <w:lang w:val="es-ES"/>
        </w:rPr>
        <w:t>Secretaria</w:t>
      </w:r>
    </w:p>
    <w:p w:rsidR="00AB1336" w:rsidRDefault="00AB1336" w:rsidP="00AB1336"/>
    <w:p w:rsidR="00AB1336" w:rsidRDefault="00AB1336" w:rsidP="00AB1336"/>
    <w:p w:rsidR="00AB1336" w:rsidRDefault="00AB1336" w:rsidP="00AB1336"/>
    <w:p w:rsidR="00AB1336" w:rsidRDefault="00AB1336" w:rsidP="00AB1336"/>
    <w:p w:rsidR="00AB1336" w:rsidRDefault="00AB1336" w:rsidP="00AB1336"/>
    <w:p w:rsidR="00AB1336" w:rsidRPr="00AB1336" w:rsidRDefault="00AB1336" w:rsidP="00AB1336">
      <w:bookmarkStart w:id="0" w:name="_GoBack"/>
      <w:bookmarkEnd w:id="0"/>
    </w:p>
    <w:sectPr w:rsidR="00AB1336" w:rsidRPr="00AB1336" w:rsidSect="00727F29">
      <w:headerReference w:type="default" r:id="rId8"/>
      <w:footerReference w:type="default" r:id="rId9"/>
      <w:headerReference w:type="first" r:id="rId10"/>
      <w:footerReference w:type="first" r:id="rId11"/>
      <w:pgSz w:w="12240" w:h="18720" w:code="14"/>
      <w:pgMar w:top="2268" w:right="1701" w:bottom="1843" w:left="2268" w:header="1418" w:footer="1418" w:gutter="0"/>
      <w:paperSrc w:first="7" w:other="7"/>
      <w:cols w:space="720"/>
      <w:noEndnote/>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00A1" w:rsidRDefault="00E100A1" w:rsidP="00AE7CB3">
      <w:r>
        <w:separator/>
      </w:r>
    </w:p>
  </w:endnote>
  <w:endnote w:type="continuationSeparator" w:id="0">
    <w:p w:rsidR="00E100A1" w:rsidRDefault="00E100A1" w:rsidP="00AE7C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WarnockPro-Regular">
    <w:altName w:val="MS Mincho"/>
    <w:panose1 w:val="00000000000000000000"/>
    <w:charset w:val="80"/>
    <w:family w:val="roman"/>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6DA3" w:rsidRDefault="005C6DA3">
    <w:pPr>
      <w:pStyle w:val="Piedepgina"/>
      <w:jc w:val="center"/>
      <w:rPr>
        <w:rFonts w:ascii="Bookman Old Style" w:hAnsi="Bookman Old Style"/>
        <w:sz w:val="20"/>
      </w:rPr>
    </w:pPr>
    <w:r w:rsidRPr="00866C6C">
      <w:rPr>
        <w:rFonts w:ascii="Bookman Old Style" w:hAnsi="Bookman Old Style"/>
        <w:sz w:val="20"/>
      </w:rPr>
      <w:fldChar w:fldCharType="begin"/>
    </w:r>
    <w:r w:rsidRPr="00866C6C">
      <w:rPr>
        <w:rFonts w:ascii="Bookman Old Style" w:hAnsi="Bookman Old Style"/>
        <w:sz w:val="20"/>
      </w:rPr>
      <w:instrText>PAGE   \* MERGEFORMAT</w:instrText>
    </w:r>
    <w:r w:rsidRPr="00866C6C">
      <w:rPr>
        <w:rFonts w:ascii="Bookman Old Style" w:hAnsi="Bookman Old Style"/>
        <w:sz w:val="20"/>
      </w:rPr>
      <w:fldChar w:fldCharType="separate"/>
    </w:r>
    <w:r w:rsidR="003C6614">
      <w:rPr>
        <w:rFonts w:ascii="Bookman Old Style" w:hAnsi="Bookman Old Style"/>
        <w:noProof/>
        <w:sz w:val="20"/>
      </w:rPr>
      <w:t>45</w:t>
    </w:r>
    <w:r w:rsidRPr="00866C6C">
      <w:rPr>
        <w:rFonts w:ascii="Bookman Old Style" w:hAnsi="Bookman Old Style"/>
        <w:sz w:val="20"/>
      </w:rPr>
      <w:fldChar w:fldCharType="end"/>
    </w:r>
  </w:p>
  <w:p w:rsidR="005C6DA3" w:rsidRPr="00866C6C" w:rsidRDefault="005C6DA3">
    <w:pPr>
      <w:pStyle w:val="Piedepgina"/>
      <w:jc w:val="center"/>
      <w:rPr>
        <w:rFonts w:ascii="Bookman Old Style" w:hAnsi="Bookman Old Style"/>
        <w:sz w:val="20"/>
      </w:rPr>
    </w:pPr>
  </w:p>
  <w:p w:rsidR="005C6DA3" w:rsidRDefault="005C6DA3">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3759918"/>
      <w:docPartObj>
        <w:docPartGallery w:val="Page Numbers (Bottom of Page)"/>
        <w:docPartUnique/>
      </w:docPartObj>
    </w:sdtPr>
    <w:sdtEndPr/>
    <w:sdtContent>
      <w:p w:rsidR="005C6DA3" w:rsidRDefault="005C6DA3">
        <w:pPr>
          <w:pStyle w:val="Piedepgina"/>
          <w:jc w:val="center"/>
        </w:pPr>
        <w:r>
          <w:fldChar w:fldCharType="begin"/>
        </w:r>
        <w:r>
          <w:instrText>PAGE   \* MERGEFORMAT</w:instrText>
        </w:r>
        <w:r>
          <w:fldChar w:fldCharType="separate"/>
        </w:r>
        <w:r w:rsidR="003C6614">
          <w:rPr>
            <w:noProof/>
          </w:rPr>
          <w:t>1</w:t>
        </w:r>
        <w:r>
          <w:fldChar w:fldCharType="end"/>
        </w:r>
      </w:p>
    </w:sdtContent>
  </w:sdt>
  <w:p w:rsidR="005C6DA3" w:rsidRDefault="005C6DA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00A1" w:rsidRDefault="00E100A1" w:rsidP="00AE7CB3">
      <w:r>
        <w:separator/>
      </w:r>
    </w:p>
  </w:footnote>
  <w:footnote w:type="continuationSeparator" w:id="0">
    <w:p w:rsidR="00E100A1" w:rsidRDefault="00E100A1" w:rsidP="00AE7CB3">
      <w:r>
        <w:continuationSeparator/>
      </w:r>
    </w:p>
  </w:footnote>
  <w:footnote w:id="1">
    <w:p w:rsidR="005C6DA3" w:rsidRPr="00FA3473" w:rsidRDefault="005C6DA3" w:rsidP="00D25BDB">
      <w:pPr>
        <w:pStyle w:val="Textonotapie"/>
        <w:jc w:val="both"/>
        <w:rPr>
          <w:rFonts w:ascii="Times New Roman" w:hAnsi="Times New Roman" w:cs="Times New Roman"/>
          <w:lang w:val="es-CO"/>
        </w:rPr>
      </w:pPr>
      <w:r>
        <w:rPr>
          <w:rFonts w:ascii="Times New Roman" w:hAnsi="Times New Roman" w:cs="Times New Roman"/>
        </w:rPr>
        <w:tab/>
      </w:r>
      <w:r w:rsidRPr="00FA3473">
        <w:rPr>
          <w:rStyle w:val="Refdenotaalpie"/>
          <w:rFonts w:ascii="Times New Roman" w:hAnsi="Times New Roman" w:cs="Times New Roman"/>
        </w:rPr>
        <w:footnoteRef/>
      </w:r>
      <w:r w:rsidRPr="00FA3473">
        <w:rPr>
          <w:rFonts w:ascii="Times New Roman" w:hAnsi="Times New Roman" w:cs="Times New Roman"/>
        </w:rPr>
        <w:t xml:space="preserve"> </w:t>
      </w:r>
      <w:r w:rsidRPr="00FA3473">
        <w:rPr>
          <w:rFonts w:ascii="Times New Roman" w:hAnsi="Times New Roman" w:cs="Times New Roman"/>
          <w:lang w:val="es-CO"/>
        </w:rPr>
        <w:t>C.5, fol.245</w:t>
      </w:r>
    </w:p>
  </w:footnote>
  <w:footnote w:id="2">
    <w:p w:rsidR="005C6DA3" w:rsidRPr="00FA3473" w:rsidRDefault="005C6DA3" w:rsidP="00D25BDB">
      <w:pPr>
        <w:pStyle w:val="Textonotapie"/>
        <w:jc w:val="both"/>
        <w:rPr>
          <w:rFonts w:ascii="Times New Roman" w:hAnsi="Times New Roman" w:cs="Times New Roman"/>
          <w:lang w:val="es-CO"/>
        </w:rPr>
      </w:pPr>
      <w:r w:rsidRPr="00FA3473">
        <w:rPr>
          <w:rFonts w:ascii="Times New Roman" w:hAnsi="Times New Roman" w:cs="Times New Roman"/>
        </w:rPr>
        <w:tab/>
      </w:r>
      <w:r w:rsidRPr="00FA3473">
        <w:rPr>
          <w:rStyle w:val="Refdenotaalpie"/>
          <w:rFonts w:ascii="Times New Roman" w:hAnsi="Times New Roman" w:cs="Times New Roman"/>
        </w:rPr>
        <w:footnoteRef/>
      </w:r>
      <w:r w:rsidRPr="00FA3473">
        <w:rPr>
          <w:rFonts w:ascii="Times New Roman" w:hAnsi="Times New Roman" w:cs="Times New Roman"/>
        </w:rPr>
        <w:t xml:space="preserve"> C.12, fol.214.</w:t>
      </w:r>
    </w:p>
  </w:footnote>
  <w:footnote w:id="3">
    <w:p w:rsidR="005C6DA3" w:rsidRPr="00FA3473" w:rsidRDefault="005C6DA3" w:rsidP="00D25BDB">
      <w:pPr>
        <w:pStyle w:val="Textonotapie"/>
        <w:jc w:val="both"/>
        <w:rPr>
          <w:rFonts w:ascii="Times New Roman" w:hAnsi="Times New Roman" w:cs="Times New Roman"/>
          <w:lang w:val="es-CO"/>
        </w:rPr>
      </w:pPr>
      <w:r w:rsidRPr="00FA3473">
        <w:rPr>
          <w:rFonts w:ascii="Times New Roman" w:hAnsi="Times New Roman" w:cs="Times New Roman"/>
        </w:rPr>
        <w:tab/>
      </w:r>
      <w:r w:rsidRPr="00FA3473">
        <w:rPr>
          <w:rStyle w:val="Refdenotaalpie"/>
          <w:rFonts w:ascii="Times New Roman" w:hAnsi="Times New Roman" w:cs="Times New Roman"/>
        </w:rPr>
        <w:footnoteRef/>
      </w:r>
      <w:r w:rsidRPr="00FA3473">
        <w:rPr>
          <w:rFonts w:ascii="Times New Roman" w:hAnsi="Times New Roman" w:cs="Times New Roman"/>
        </w:rPr>
        <w:t xml:space="preserve"> </w:t>
      </w:r>
      <w:r w:rsidRPr="00FA3473">
        <w:rPr>
          <w:rFonts w:ascii="Times New Roman" w:hAnsi="Times New Roman" w:cs="Times New Roman"/>
          <w:lang w:val="es-CO"/>
        </w:rPr>
        <w:t>C.14, fol. 1 y ss.</w:t>
      </w:r>
    </w:p>
  </w:footnote>
  <w:footnote w:id="4">
    <w:p w:rsidR="005C6DA3" w:rsidRPr="00FA3473" w:rsidRDefault="005C6DA3" w:rsidP="00D25BDB">
      <w:pPr>
        <w:pStyle w:val="Textonotapie"/>
        <w:jc w:val="both"/>
        <w:rPr>
          <w:rFonts w:ascii="Times New Roman" w:hAnsi="Times New Roman" w:cs="Times New Roman"/>
          <w:lang w:val="en-US"/>
        </w:rPr>
      </w:pPr>
      <w:r w:rsidRPr="002125C6">
        <w:rPr>
          <w:rFonts w:ascii="Times New Roman" w:hAnsi="Times New Roman" w:cs="Times New Roman"/>
          <w:lang w:val="es-CO"/>
        </w:rPr>
        <w:tab/>
      </w:r>
      <w:r w:rsidRPr="00FA3473">
        <w:rPr>
          <w:rStyle w:val="Refdenotaalpie"/>
          <w:rFonts w:ascii="Times New Roman" w:hAnsi="Times New Roman" w:cs="Times New Roman"/>
        </w:rPr>
        <w:footnoteRef/>
      </w:r>
      <w:r w:rsidRPr="00FA3473">
        <w:rPr>
          <w:rFonts w:ascii="Times New Roman" w:hAnsi="Times New Roman" w:cs="Times New Roman"/>
          <w:lang w:val="en-US"/>
        </w:rPr>
        <w:t xml:space="preserve"> C.14, fol. 274.</w:t>
      </w:r>
    </w:p>
  </w:footnote>
  <w:footnote w:id="5">
    <w:p w:rsidR="005C6DA3" w:rsidRPr="00FA3473" w:rsidRDefault="005C6DA3" w:rsidP="00D25BDB">
      <w:pPr>
        <w:pStyle w:val="Textonotapie"/>
        <w:jc w:val="both"/>
        <w:rPr>
          <w:rFonts w:ascii="Times New Roman" w:hAnsi="Times New Roman" w:cs="Times New Roman"/>
          <w:lang w:val="en-US"/>
        </w:rPr>
      </w:pPr>
      <w:r w:rsidRPr="00FA3473">
        <w:rPr>
          <w:rFonts w:ascii="Times New Roman" w:hAnsi="Times New Roman" w:cs="Times New Roman"/>
          <w:lang w:val="en-US"/>
        </w:rPr>
        <w:tab/>
      </w:r>
      <w:r w:rsidRPr="00FA3473">
        <w:rPr>
          <w:rStyle w:val="Refdenotaalpie"/>
          <w:rFonts w:ascii="Times New Roman" w:hAnsi="Times New Roman" w:cs="Times New Roman"/>
        </w:rPr>
        <w:footnoteRef/>
      </w:r>
      <w:r w:rsidRPr="00FA3473">
        <w:rPr>
          <w:rFonts w:ascii="Times New Roman" w:hAnsi="Times New Roman" w:cs="Times New Roman"/>
          <w:lang w:val="en-US"/>
        </w:rPr>
        <w:t xml:space="preserve"> C.24, fol. 1</w:t>
      </w:r>
    </w:p>
  </w:footnote>
  <w:footnote w:id="6">
    <w:p w:rsidR="005C6DA3" w:rsidRPr="00FA3473" w:rsidRDefault="005C6DA3" w:rsidP="00D25BDB">
      <w:pPr>
        <w:pStyle w:val="Textonotapie"/>
        <w:jc w:val="both"/>
        <w:rPr>
          <w:rFonts w:ascii="Times New Roman" w:hAnsi="Times New Roman" w:cs="Times New Roman"/>
          <w:lang w:val="en-US"/>
        </w:rPr>
      </w:pPr>
      <w:r w:rsidRPr="00FA3473">
        <w:rPr>
          <w:rFonts w:ascii="Times New Roman" w:hAnsi="Times New Roman" w:cs="Times New Roman"/>
          <w:lang w:val="en-US"/>
        </w:rPr>
        <w:tab/>
      </w:r>
      <w:r w:rsidRPr="00FA3473">
        <w:rPr>
          <w:rStyle w:val="Refdenotaalpie"/>
          <w:rFonts w:ascii="Times New Roman" w:hAnsi="Times New Roman" w:cs="Times New Roman"/>
        </w:rPr>
        <w:footnoteRef/>
      </w:r>
      <w:r w:rsidRPr="00FA3473">
        <w:rPr>
          <w:rFonts w:ascii="Times New Roman" w:hAnsi="Times New Roman" w:cs="Times New Roman"/>
          <w:lang w:val="en-US"/>
        </w:rPr>
        <w:t xml:space="preserve"> C.27, fol. 277</w:t>
      </w:r>
    </w:p>
  </w:footnote>
  <w:footnote w:id="7">
    <w:p w:rsidR="005C6DA3" w:rsidRPr="00FA3473" w:rsidRDefault="005C6DA3" w:rsidP="00D25BDB">
      <w:pPr>
        <w:pStyle w:val="Textonotapie"/>
        <w:jc w:val="both"/>
        <w:rPr>
          <w:rFonts w:ascii="Times New Roman" w:hAnsi="Times New Roman" w:cs="Times New Roman"/>
          <w:lang w:val="es-CO"/>
        </w:rPr>
      </w:pPr>
      <w:r w:rsidRPr="002125C6">
        <w:rPr>
          <w:rFonts w:ascii="Times New Roman" w:hAnsi="Times New Roman" w:cs="Times New Roman"/>
          <w:lang w:val="en-US"/>
        </w:rPr>
        <w:tab/>
      </w:r>
      <w:r w:rsidRPr="00FA3473">
        <w:rPr>
          <w:rStyle w:val="Refdenotaalpie"/>
          <w:rFonts w:ascii="Times New Roman" w:hAnsi="Times New Roman" w:cs="Times New Roman"/>
        </w:rPr>
        <w:footnoteRef/>
      </w:r>
      <w:r w:rsidRPr="00FA3473">
        <w:rPr>
          <w:rFonts w:ascii="Times New Roman" w:hAnsi="Times New Roman" w:cs="Times New Roman"/>
        </w:rPr>
        <w:t xml:space="preserve"> </w:t>
      </w:r>
      <w:r w:rsidRPr="00FA3473">
        <w:rPr>
          <w:rFonts w:ascii="Times New Roman" w:hAnsi="Times New Roman" w:cs="Times New Roman"/>
          <w:lang w:val="es-CO"/>
        </w:rPr>
        <w:t>C.28, fol. 56</w:t>
      </w:r>
    </w:p>
  </w:footnote>
  <w:footnote w:id="8">
    <w:p w:rsidR="005C6DA3" w:rsidRPr="00FA3473" w:rsidRDefault="005C6DA3" w:rsidP="00D25BDB">
      <w:pPr>
        <w:pStyle w:val="Textonotapie"/>
        <w:jc w:val="both"/>
        <w:rPr>
          <w:rFonts w:ascii="Times New Roman" w:hAnsi="Times New Roman" w:cs="Times New Roman"/>
          <w:lang w:val="es-CO"/>
        </w:rPr>
      </w:pPr>
      <w:r w:rsidRPr="00FA3473">
        <w:rPr>
          <w:rFonts w:ascii="Times New Roman" w:hAnsi="Times New Roman" w:cs="Times New Roman"/>
        </w:rPr>
        <w:tab/>
      </w:r>
      <w:r w:rsidRPr="00FA3473">
        <w:rPr>
          <w:rStyle w:val="Refdenotaalpie"/>
          <w:rFonts w:ascii="Times New Roman" w:hAnsi="Times New Roman" w:cs="Times New Roman"/>
        </w:rPr>
        <w:footnoteRef/>
      </w:r>
      <w:r w:rsidRPr="00FA3473">
        <w:rPr>
          <w:rFonts w:ascii="Times New Roman" w:hAnsi="Times New Roman" w:cs="Times New Roman"/>
        </w:rPr>
        <w:t xml:space="preserve"> Bajo la investigación 11914-10, la Fiscalía 10 Delegada ante la Corte Suprema de Justicia resolvió situación jurídica el 14 de mayo de 2013, a JULIO ENRIQUE ACOSTA BERNAL, </w:t>
      </w:r>
      <w:r w:rsidRPr="00FA3473">
        <w:rPr>
          <w:rFonts w:ascii="Times New Roman" w:hAnsi="Times New Roman" w:cs="Times New Roman"/>
          <w:lang w:val="es-CO"/>
        </w:rPr>
        <w:t xml:space="preserve">imponiéndole medida de aseguramiento de detención preventiva por los delitos de peculado por apropiación y contrato sin el cumplimiento de los requisitos legales, actuación que se encuentra actualmente en etapa de juicio ante esta Corporación dentro del radicado 43263. </w:t>
      </w:r>
    </w:p>
  </w:footnote>
  <w:footnote w:id="9">
    <w:p w:rsidR="005C6DA3" w:rsidRPr="00FA3473" w:rsidRDefault="005C6DA3" w:rsidP="00D25BDB">
      <w:pPr>
        <w:pStyle w:val="Textonotapie"/>
        <w:jc w:val="both"/>
        <w:rPr>
          <w:rFonts w:ascii="Times New Roman" w:hAnsi="Times New Roman" w:cs="Times New Roman"/>
          <w:lang w:val="es-CO"/>
        </w:rPr>
      </w:pPr>
      <w:r w:rsidRPr="00FA3473">
        <w:rPr>
          <w:rFonts w:ascii="Times New Roman" w:hAnsi="Times New Roman" w:cs="Times New Roman"/>
        </w:rPr>
        <w:tab/>
      </w:r>
      <w:r w:rsidRPr="00FA3473">
        <w:rPr>
          <w:rStyle w:val="Refdenotaalpie"/>
          <w:rFonts w:ascii="Times New Roman" w:hAnsi="Times New Roman" w:cs="Times New Roman"/>
        </w:rPr>
        <w:footnoteRef/>
      </w:r>
      <w:r w:rsidRPr="00FA3473">
        <w:rPr>
          <w:rFonts w:ascii="Times New Roman" w:hAnsi="Times New Roman" w:cs="Times New Roman"/>
        </w:rPr>
        <w:t xml:space="preserve"> </w:t>
      </w:r>
      <w:r w:rsidRPr="00FA3473">
        <w:rPr>
          <w:rFonts w:ascii="Times New Roman" w:hAnsi="Times New Roman" w:cs="Times New Roman"/>
          <w:lang w:val="es-CO"/>
        </w:rPr>
        <w:t>C. 30, fol. 67.</w:t>
      </w:r>
    </w:p>
  </w:footnote>
  <w:footnote w:id="10">
    <w:p w:rsidR="005C6DA3" w:rsidRPr="00FA3473" w:rsidRDefault="005C6DA3" w:rsidP="00D25BDB">
      <w:pPr>
        <w:pStyle w:val="Textonotapie"/>
        <w:jc w:val="both"/>
        <w:rPr>
          <w:rFonts w:ascii="Times New Roman" w:hAnsi="Times New Roman" w:cs="Times New Roman"/>
          <w:lang w:val="es-CO"/>
        </w:rPr>
      </w:pPr>
      <w:r w:rsidRPr="00FA3473">
        <w:rPr>
          <w:rFonts w:ascii="Times New Roman" w:hAnsi="Times New Roman" w:cs="Times New Roman"/>
        </w:rPr>
        <w:tab/>
      </w:r>
      <w:r w:rsidRPr="00FA3473">
        <w:rPr>
          <w:rStyle w:val="Refdenotaalpie"/>
          <w:rFonts w:ascii="Times New Roman" w:hAnsi="Times New Roman" w:cs="Times New Roman"/>
        </w:rPr>
        <w:footnoteRef/>
      </w:r>
      <w:r w:rsidRPr="00FA3473">
        <w:rPr>
          <w:rFonts w:ascii="Times New Roman" w:hAnsi="Times New Roman" w:cs="Times New Roman"/>
        </w:rPr>
        <w:t xml:space="preserve"> </w:t>
      </w:r>
      <w:r w:rsidRPr="00FA3473">
        <w:rPr>
          <w:rFonts w:ascii="Times New Roman" w:hAnsi="Times New Roman" w:cs="Times New Roman"/>
          <w:lang w:val="es-CO"/>
        </w:rPr>
        <w:t>C. 30, fol. 80 a 82.</w:t>
      </w:r>
    </w:p>
  </w:footnote>
  <w:footnote w:id="11">
    <w:p w:rsidR="005C6DA3" w:rsidRPr="00FA3473" w:rsidRDefault="005C6DA3" w:rsidP="00D25BDB">
      <w:pPr>
        <w:pStyle w:val="Textonotapie"/>
        <w:jc w:val="both"/>
        <w:rPr>
          <w:rFonts w:ascii="Times New Roman" w:hAnsi="Times New Roman" w:cs="Times New Roman"/>
          <w:lang w:val="es-CO"/>
        </w:rPr>
      </w:pPr>
      <w:r w:rsidRPr="00FA3473">
        <w:rPr>
          <w:rFonts w:ascii="Times New Roman" w:hAnsi="Times New Roman" w:cs="Times New Roman"/>
        </w:rPr>
        <w:tab/>
      </w:r>
      <w:r w:rsidRPr="00FA3473">
        <w:rPr>
          <w:rStyle w:val="Refdenotaalpie"/>
          <w:rFonts w:ascii="Times New Roman" w:hAnsi="Times New Roman" w:cs="Times New Roman"/>
        </w:rPr>
        <w:footnoteRef/>
      </w:r>
      <w:r w:rsidRPr="00FA3473">
        <w:rPr>
          <w:rFonts w:ascii="Times New Roman" w:hAnsi="Times New Roman" w:cs="Times New Roman"/>
        </w:rPr>
        <w:t xml:space="preserve"> </w:t>
      </w:r>
      <w:r w:rsidRPr="00FA3473">
        <w:rPr>
          <w:rFonts w:ascii="Times New Roman" w:hAnsi="Times New Roman" w:cs="Times New Roman"/>
          <w:lang w:val="es-CO"/>
        </w:rPr>
        <w:t>C.1 Corte, fol. 181.</w:t>
      </w:r>
    </w:p>
  </w:footnote>
  <w:footnote w:id="12">
    <w:p w:rsidR="005C6DA3" w:rsidRPr="00FA3473" w:rsidRDefault="005C6DA3" w:rsidP="00D25BDB">
      <w:pPr>
        <w:pStyle w:val="Textonotapie"/>
        <w:jc w:val="both"/>
        <w:rPr>
          <w:rFonts w:ascii="Times New Roman" w:hAnsi="Times New Roman" w:cs="Times New Roman"/>
          <w:lang w:val="es-CO"/>
        </w:rPr>
      </w:pPr>
      <w:r w:rsidRPr="00FA3473">
        <w:rPr>
          <w:rFonts w:ascii="Times New Roman" w:hAnsi="Times New Roman" w:cs="Times New Roman"/>
        </w:rPr>
        <w:tab/>
      </w:r>
      <w:r w:rsidRPr="00FA3473">
        <w:rPr>
          <w:rStyle w:val="Refdenotaalpie"/>
          <w:rFonts w:ascii="Times New Roman" w:hAnsi="Times New Roman" w:cs="Times New Roman"/>
        </w:rPr>
        <w:footnoteRef/>
      </w:r>
      <w:r w:rsidRPr="00FA3473">
        <w:rPr>
          <w:rFonts w:ascii="Times New Roman" w:hAnsi="Times New Roman" w:cs="Times New Roman"/>
        </w:rPr>
        <w:t xml:space="preserve"> </w:t>
      </w:r>
      <w:r w:rsidRPr="00FA3473">
        <w:rPr>
          <w:rFonts w:ascii="Times New Roman" w:hAnsi="Times New Roman" w:cs="Times New Roman"/>
          <w:lang w:val="es-CO"/>
        </w:rPr>
        <w:t>Así, en sentencia de única instancia del 4 de mayo de 2005, rad. 19.094.</w:t>
      </w:r>
    </w:p>
  </w:footnote>
  <w:footnote w:id="13">
    <w:p w:rsidR="005C6DA3" w:rsidRPr="00FA3473" w:rsidRDefault="005C6DA3" w:rsidP="008C0A7E">
      <w:pPr>
        <w:pStyle w:val="Textonotapie"/>
        <w:jc w:val="both"/>
        <w:rPr>
          <w:rFonts w:ascii="Times New Roman" w:hAnsi="Times New Roman" w:cs="Times New Roman"/>
        </w:rPr>
      </w:pPr>
      <w:r w:rsidRPr="00FA3473">
        <w:rPr>
          <w:sz w:val="18"/>
          <w:szCs w:val="18"/>
        </w:rPr>
        <w:tab/>
      </w:r>
      <w:r w:rsidRPr="00FA3473">
        <w:rPr>
          <w:rStyle w:val="Refdenotaalpie"/>
          <w:rFonts w:ascii="Times New Roman" w:hAnsi="Times New Roman" w:cs="Times New Roman"/>
        </w:rPr>
        <w:footnoteRef/>
      </w:r>
      <w:r w:rsidRPr="00FA3473">
        <w:rPr>
          <w:rFonts w:ascii="Times New Roman" w:hAnsi="Times New Roman" w:cs="Times New Roman"/>
        </w:rPr>
        <w:t xml:space="preserve"> La nueva Ley, según la exposición de motivos, fue justificada en que los procesos penales no habían avanzado con la agilidad esperada y el sistema jurídico no había logrado las modificaciones requeridas, que brindarían a los jueces y fiscales las herramientas para adelantar las actuaciones dentro de los tiempos originalmente previstos por la Ley 1760. Como consecuencia, se afirmó que era necesaria la extensión del plazo de entrada en vigencia de términos de detención preventiva para los procesos más complejos, a fin de evitar un escenario de excarcelación masiva e indiscriminada, que podría representar un peligro inminente para la seguridad de los ciudadanos y la administración de justicia. Ver Gaceta del Congreso de la Republica N° 157, del 19 de abril de 2016, pp. 7-8. </w:t>
      </w:r>
    </w:p>
  </w:footnote>
  <w:footnote w:id="14">
    <w:p w:rsidR="005C6DA3" w:rsidRPr="00FA3473" w:rsidRDefault="005C6DA3" w:rsidP="00AB377F">
      <w:pPr>
        <w:jc w:val="both"/>
        <w:rPr>
          <w:rFonts w:ascii="Times New Roman" w:hAnsi="Times New Roman"/>
          <w:sz w:val="20"/>
          <w:szCs w:val="20"/>
          <w:lang w:val="es-CO"/>
        </w:rPr>
      </w:pPr>
      <w:r w:rsidRPr="00FA3473">
        <w:rPr>
          <w:rFonts w:ascii="Times New Roman" w:hAnsi="Times New Roman"/>
          <w:sz w:val="20"/>
          <w:szCs w:val="20"/>
        </w:rPr>
        <w:tab/>
      </w:r>
      <w:r w:rsidRPr="00FA3473">
        <w:rPr>
          <w:rStyle w:val="Refdenotaalpie"/>
          <w:rFonts w:ascii="Times New Roman" w:hAnsi="Times New Roman"/>
          <w:sz w:val="20"/>
          <w:szCs w:val="20"/>
        </w:rPr>
        <w:footnoteRef/>
      </w:r>
      <w:r w:rsidRPr="00FA3473">
        <w:rPr>
          <w:rFonts w:ascii="Times New Roman" w:hAnsi="Times New Roman"/>
          <w:sz w:val="20"/>
          <w:szCs w:val="20"/>
        </w:rPr>
        <w:t xml:space="preserve"> Art. 624 C.G.P.: Modifíquese el artículo </w:t>
      </w:r>
      <w:hyperlink r:id="rId1" w:anchor="40" w:history="1">
        <w:r w:rsidRPr="00FA3473">
          <w:rPr>
            <w:rStyle w:val="Hipervnculo"/>
            <w:rFonts w:ascii="Times New Roman" w:hAnsi="Times New Roman"/>
            <w:color w:val="auto"/>
            <w:sz w:val="20"/>
            <w:szCs w:val="20"/>
            <w:u w:val="none"/>
          </w:rPr>
          <w:t>40</w:t>
        </w:r>
      </w:hyperlink>
      <w:r w:rsidRPr="00FA3473">
        <w:rPr>
          <w:rFonts w:ascii="Times New Roman" w:hAnsi="Times New Roman"/>
          <w:sz w:val="20"/>
          <w:szCs w:val="20"/>
        </w:rPr>
        <w:t xml:space="preserve"> de la Ley 153 de 1887, el cual quedará así: Artículo 40. Las leyes concernientes a la sustanciación y ritualidad de los juicios prevalecen sobre las anteriores desde el momento en que deben empezar a regir .Sin embargo,…los términos que hubieren comenzado a correr…se regirán por las leyes vigentes cuando…empezaron a correr los términos. </w:t>
      </w:r>
    </w:p>
    <w:p w:rsidR="005C6DA3" w:rsidRPr="00FA3473" w:rsidRDefault="005C6DA3" w:rsidP="00AB377F">
      <w:pPr>
        <w:pStyle w:val="Textonotapie"/>
      </w:pPr>
    </w:p>
  </w:footnote>
  <w:footnote w:id="15">
    <w:p w:rsidR="00F22B64" w:rsidRPr="00FC187F" w:rsidRDefault="00F22B64" w:rsidP="00F22B64">
      <w:pPr>
        <w:pStyle w:val="Textonotapie"/>
        <w:jc w:val="both"/>
        <w:rPr>
          <w:rFonts w:ascii="Times New Roman" w:hAnsi="Times New Roman" w:cs="Times New Roman"/>
          <w:lang w:val="es-CO"/>
        </w:rPr>
      </w:pPr>
      <w:r w:rsidRPr="00FC187F">
        <w:rPr>
          <w:rFonts w:ascii="Times New Roman" w:hAnsi="Times New Roman" w:cs="Times New Roman"/>
        </w:rPr>
        <w:tab/>
      </w:r>
      <w:r w:rsidRPr="00FC187F">
        <w:rPr>
          <w:rStyle w:val="Refdenotaalpie"/>
          <w:rFonts w:ascii="Times New Roman" w:hAnsi="Times New Roman" w:cs="Times New Roman"/>
        </w:rPr>
        <w:footnoteRef/>
      </w:r>
      <w:r w:rsidRPr="00FC187F">
        <w:rPr>
          <w:rFonts w:ascii="Times New Roman" w:hAnsi="Times New Roman" w:cs="Times New Roman"/>
        </w:rPr>
        <w:t xml:space="preserve"> Caso Suárez Rosero vs. Ecuador, sent. 12. nov. 1997, num. 70. </w:t>
      </w:r>
    </w:p>
  </w:footnote>
  <w:footnote w:id="16">
    <w:p w:rsidR="00FC187F" w:rsidRPr="00FC187F" w:rsidRDefault="00FC187F">
      <w:pPr>
        <w:pStyle w:val="Textonotapie"/>
        <w:rPr>
          <w:lang w:val="es-CO"/>
        </w:rPr>
      </w:pPr>
      <w:r w:rsidRPr="00FC187F">
        <w:rPr>
          <w:rFonts w:ascii="Times New Roman" w:hAnsi="Times New Roman" w:cs="Times New Roman"/>
        </w:rPr>
        <w:tab/>
      </w:r>
      <w:r w:rsidRPr="00FC187F">
        <w:rPr>
          <w:rStyle w:val="Refdenotaalpie"/>
          <w:rFonts w:ascii="Times New Roman" w:hAnsi="Times New Roman" w:cs="Times New Roman"/>
        </w:rPr>
        <w:footnoteRef/>
      </w:r>
      <w:r w:rsidRPr="00FC187F">
        <w:rPr>
          <w:rFonts w:ascii="Times New Roman" w:hAnsi="Times New Roman" w:cs="Times New Roman"/>
        </w:rPr>
        <w:t xml:space="preserve"> Gaceta del Congreso Nº 660 de 2014.</w:t>
      </w:r>
      <w:r>
        <w:t xml:space="preserve">  </w:t>
      </w:r>
    </w:p>
  </w:footnote>
  <w:footnote w:id="17">
    <w:p w:rsidR="0031416D" w:rsidRPr="0031416D" w:rsidRDefault="0011222F" w:rsidP="0031416D">
      <w:pPr>
        <w:pStyle w:val="Textonotapie"/>
        <w:jc w:val="both"/>
        <w:rPr>
          <w:rFonts w:ascii="Times New Roman" w:hAnsi="Times New Roman" w:cs="Times New Roman"/>
        </w:rPr>
      </w:pPr>
      <w:r w:rsidRPr="0031416D">
        <w:rPr>
          <w:rFonts w:ascii="Times New Roman" w:hAnsi="Times New Roman" w:cs="Times New Roman"/>
        </w:rPr>
        <w:tab/>
      </w:r>
      <w:r w:rsidRPr="0031416D">
        <w:rPr>
          <w:rStyle w:val="Refdenotaalpie"/>
          <w:rFonts w:ascii="Times New Roman" w:hAnsi="Times New Roman" w:cs="Times New Roman"/>
        </w:rPr>
        <w:footnoteRef/>
      </w:r>
      <w:r w:rsidRPr="0031416D">
        <w:rPr>
          <w:rFonts w:ascii="Times New Roman" w:hAnsi="Times New Roman" w:cs="Times New Roman"/>
        </w:rPr>
        <w:t xml:space="preserve"> Rasero aplicado por la Corte Constitucional al analizar los fundamentos fácticos de la determinación legal del término máximo de vigencia de la medida de aseguramiento</w:t>
      </w:r>
      <w:r w:rsidR="0031416D" w:rsidRPr="0031416D">
        <w:rPr>
          <w:rFonts w:ascii="Times New Roman" w:hAnsi="Times New Roman" w:cs="Times New Roman"/>
        </w:rPr>
        <w:t xml:space="preserve"> (cfr. C-221 de 2017, num. 20). </w:t>
      </w:r>
    </w:p>
  </w:footnote>
  <w:footnote w:id="18">
    <w:p w:rsidR="005C6DA3" w:rsidRPr="00FA3473" w:rsidRDefault="005C6DA3" w:rsidP="00627187">
      <w:pPr>
        <w:pStyle w:val="Textonotapie"/>
        <w:rPr>
          <w:rFonts w:ascii="Bookman Old Style" w:hAnsi="Bookman Old Style"/>
          <w:lang w:val="es-CO"/>
        </w:rPr>
      </w:pPr>
      <w:r w:rsidRPr="00FA3473">
        <w:rPr>
          <w:rFonts w:ascii="Bookman Old Style" w:hAnsi="Bookman Old Style"/>
        </w:rPr>
        <w:tab/>
      </w:r>
      <w:r w:rsidRPr="00FA3473">
        <w:rPr>
          <w:rStyle w:val="Refdenotaalpie"/>
          <w:rFonts w:ascii="Bookman Old Style" w:hAnsi="Bookman Old Style"/>
        </w:rPr>
        <w:footnoteRef/>
      </w:r>
      <w:r w:rsidRPr="00FA3473">
        <w:rPr>
          <w:rFonts w:ascii="Bookman Old Style" w:hAnsi="Bookman Old Style"/>
        </w:rPr>
        <w:t xml:space="preserve"> </w:t>
      </w:r>
      <w:r w:rsidRPr="00FA3473">
        <w:rPr>
          <w:rFonts w:ascii="Bookman Old Style" w:hAnsi="Bookman Old Style"/>
          <w:lang w:val="es-CO"/>
        </w:rPr>
        <w:t>CSJ AP 4 may. 2005, rad. 23.567.</w:t>
      </w:r>
    </w:p>
  </w:footnote>
  <w:footnote w:id="19">
    <w:p w:rsidR="005C6DA3" w:rsidRPr="00FA3473" w:rsidRDefault="005C6DA3" w:rsidP="00B80958">
      <w:pPr>
        <w:ind w:firstLine="703"/>
        <w:jc w:val="both"/>
        <w:rPr>
          <w:rFonts w:ascii="Times New Roman" w:hAnsi="Times New Roman" w:cs="Times New Roman"/>
          <w:sz w:val="20"/>
          <w:szCs w:val="20"/>
          <w:lang w:val="es-MX"/>
        </w:rPr>
      </w:pPr>
      <w:r w:rsidRPr="00FA3473">
        <w:rPr>
          <w:rFonts w:ascii="Times New Roman" w:hAnsi="Times New Roman" w:cs="Times New Roman"/>
          <w:sz w:val="20"/>
          <w:szCs w:val="20"/>
        </w:rPr>
        <w:tab/>
      </w:r>
      <w:r w:rsidRPr="00FA3473">
        <w:rPr>
          <w:rStyle w:val="Refdenotaalpie"/>
          <w:rFonts w:ascii="Times New Roman" w:hAnsi="Times New Roman" w:cs="Times New Roman"/>
          <w:sz w:val="20"/>
          <w:szCs w:val="20"/>
        </w:rPr>
        <w:footnoteRef/>
      </w:r>
      <w:r w:rsidRPr="00FA3473">
        <w:rPr>
          <w:rFonts w:ascii="Times New Roman" w:hAnsi="Times New Roman" w:cs="Times New Roman"/>
          <w:sz w:val="20"/>
          <w:szCs w:val="20"/>
        </w:rPr>
        <w:t xml:space="preserve"> Sobre el particular, cfr. </w:t>
      </w:r>
      <w:r w:rsidRPr="00FA3473">
        <w:rPr>
          <w:rFonts w:ascii="Times New Roman" w:eastAsia="WarnockPro-Regular" w:hAnsi="Times New Roman" w:cs="Times New Roman"/>
          <w:sz w:val="20"/>
          <w:szCs w:val="20"/>
          <w:lang w:val="es-CO" w:eastAsia="en-US"/>
        </w:rPr>
        <w:t xml:space="preserve">ARMENTA DEU, Teresa. </w:t>
      </w:r>
      <w:r w:rsidRPr="00FA3473">
        <w:rPr>
          <w:rFonts w:ascii="Times New Roman" w:eastAsia="WarnockPro-Regular" w:hAnsi="Times New Roman" w:cs="Times New Roman"/>
          <w:i/>
          <w:iCs/>
          <w:sz w:val="20"/>
          <w:szCs w:val="20"/>
          <w:lang w:val="es-CO" w:eastAsia="en-US"/>
        </w:rPr>
        <w:t xml:space="preserve">Lecciones de Derecho Procesal Penal. </w:t>
      </w:r>
      <w:r w:rsidRPr="00FA3473">
        <w:rPr>
          <w:rFonts w:ascii="Times New Roman" w:eastAsia="WarnockPro-Regular" w:hAnsi="Times New Roman" w:cs="Times New Roman"/>
          <w:sz w:val="20"/>
          <w:szCs w:val="20"/>
          <w:lang w:val="es-CO" w:eastAsia="en-US"/>
        </w:rPr>
        <w:t xml:space="preserve">Barcelona: Marcial Pons, 2003, pp.193-195 y SANGUINÉ, Odone. </w:t>
      </w:r>
      <w:r w:rsidRPr="00FA3473">
        <w:rPr>
          <w:rFonts w:ascii="Times New Roman" w:eastAsia="WarnockPro-Regular" w:hAnsi="Times New Roman" w:cs="Times New Roman"/>
          <w:i/>
          <w:iCs/>
          <w:sz w:val="20"/>
          <w:szCs w:val="20"/>
          <w:lang w:val="es-CO" w:eastAsia="en-US"/>
        </w:rPr>
        <w:t xml:space="preserve">Prisión provisional y derechos fundamentales. </w:t>
      </w:r>
      <w:r w:rsidRPr="00FA3473">
        <w:rPr>
          <w:rFonts w:ascii="Times New Roman" w:eastAsia="WarnockPro-Regular" w:hAnsi="Times New Roman" w:cs="Times New Roman"/>
          <w:sz w:val="20"/>
          <w:szCs w:val="20"/>
          <w:lang w:val="es-CO" w:eastAsia="en-US"/>
        </w:rPr>
        <w:t xml:space="preserve">Valencia: Tirant lo blanch, 2003, pp. 89 y 96-97. </w:t>
      </w:r>
    </w:p>
    <w:p w:rsidR="005C6DA3" w:rsidRPr="00FA3473" w:rsidRDefault="005C6DA3">
      <w:pPr>
        <w:pStyle w:val="Textonotapie"/>
        <w:rPr>
          <w:lang w:val="es-MX"/>
        </w:rPr>
      </w:pPr>
    </w:p>
  </w:footnote>
  <w:footnote w:id="20">
    <w:p w:rsidR="005C6DA3" w:rsidRPr="00FA3473" w:rsidRDefault="005C6DA3" w:rsidP="00E3179B">
      <w:pPr>
        <w:pStyle w:val="Textonotapie"/>
        <w:jc w:val="both"/>
        <w:rPr>
          <w:rFonts w:ascii="Times New Roman" w:hAnsi="Times New Roman" w:cs="Times New Roman"/>
        </w:rPr>
      </w:pPr>
      <w:r w:rsidRPr="00FA3473">
        <w:tab/>
      </w:r>
      <w:r w:rsidRPr="00FA3473">
        <w:rPr>
          <w:rStyle w:val="Refdenotaalpie"/>
          <w:rFonts w:ascii="Times New Roman" w:hAnsi="Times New Roman" w:cs="Times New Roman"/>
        </w:rPr>
        <w:footnoteRef/>
      </w:r>
      <w:r w:rsidRPr="00FA3473">
        <w:rPr>
          <w:rFonts w:ascii="Times New Roman" w:hAnsi="Times New Roman" w:cs="Times New Roman"/>
        </w:rPr>
        <w:t xml:space="preserve"> Por lo que igualmente desafortunado se ofrece la invocación del AP </w:t>
      </w:r>
      <w:r w:rsidRPr="00FA3473">
        <w:rPr>
          <w:rFonts w:ascii="Times New Roman" w:eastAsia="WarnockPro-Regular" w:hAnsi="Times New Roman" w:cs="Times New Roman"/>
          <w:lang w:val="es-CO" w:eastAsia="en-US"/>
        </w:rPr>
        <w:t xml:space="preserve">13 jul. 2016, rad. 35.691, por cuyo medio la Corte </w:t>
      </w:r>
      <w:r w:rsidRPr="00627955">
        <w:rPr>
          <w:rFonts w:ascii="Times New Roman" w:eastAsia="WarnockPro-Regular" w:hAnsi="Times New Roman" w:cs="Times New Roman"/>
          <w:b/>
          <w:i/>
          <w:lang w:val="es-CO" w:eastAsia="en-US"/>
        </w:rPr>
        <w:t xml:space="preserve">revocó </w:t>
      </w:r>
      <w:r w:rsidRPr="00FA3473">
        <w:rPr>
          <w:rFonts w:ascii="Times New Roman" w:eastAsia="WarnockPro-Regular" w:hAnsi="Times New Roman" w:cs="Times New Roman"/>
          <w:lang w:val="es-CO" w:eastAsia="en-US"/>
        </w:rPr>
        <w:t xml:space="preserve">la medida de aseguramiento impuesta a un procesado aforado y, en consecuencia, dispuso su libertad inmediata.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6DA3" w:rsidRDefault="005C6DA3" w:rsidP="002A5516">
    <w:pPr>
      <w:pStyle w:val="Encabezado"/>
      <w:jc w:val="right"/>
      <w:rPr>
        <w:rFonts w:ascii="Bookman Old Style" w:hAnsi="Bookman Old Style"/>
        <w:i/>
        <w:sz w:val="18"/>
      </w:rPr>
    </w:pPr>
    <w:r w:rsidRPr="00002082">
      <w:rPr>
        <w:i/>
        <w:noProof/>
        <w:sz w:val="22"/>
        <w:szCs w:val="22"/>
        <w:lang w:val="es-CO" w:eastAsia="es-CO"/>
      </w:rPr>
      <w:drawing>
        <wp:anchor distT="0" distB="0" distL="114300" distR="114300" simplePos="0" relativeHeight="251660288" behindDoc="1" locked="0" layoutInCell="1" allowOverlap="1" wp14:anchorId="6F06264C" wp14:editId="59F818EF">
          <wp:simplePos x="0" y="0"/>
          <wp:positionH relativeFrom="margin">
            <wp:posOffset>1920875</wp:posOffset>
          </wp:positionH>
          <wp:positionV relativeFrom="paragraph">
            <wp:posOffset>-584835</wp:posOffset>
          </wp:positionV>
          <wp:extent cx="1409700" cy="1727200"/>
          <wp:effectExtent l="0" t="0" r="0" b="0"/>
          <wp:wrapTopAndBottom/>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Personalizados14.png"/>
                  <pic:cNvPicPr/>
                </pic:nvPicPr>
                <pic:blipFill rotWithShape="1">
                  <a:blip r:embed="rId1" cstate="print">
                    <a:extLst>
                      <a:ext uri="{28A0092B-C50C-407E-A947-70E740481C1C}">
                        <a14:useLocalDpi xmlns:a14="http://schemas.microsoft.com/office/drawing/2010/main" val="0"/>
                      </a:ext>
                    </a:extLst>
                  </a:blip>
                  <a:srcRect l="14743" t="3206" r="14103" b="9615"/>
                  <a:stretch/>
                </pic:blipFill>
                <pic:spPr bwMode="auto">
                  <a:xfrm>
                    <a:off x="0" y="0"/>
                    <a:ext cx="1409700" cy="1727200"/>
                  </a:xfrm>
                  <a:prstGeom prst="rect">
                    <a:avLst/>
                  </a:prstGeom>
                  <a:ln>
                    <a:noFill/>
                  </a:ln>
                  <a:extLst>
                    <a:ext uri="{53640926-AAD7-44D8-BBD7-CCE9431645EC}">
                      <a14:shadowObscured xmlns:a14="http://schemas.microsoft.com/office/drawing/2010/main"/>
                    </a:ext>
                  </a:extLst>
                </pic:spPr>
              </pic:pic>
            </a:graphicData>
          </a:graphic>
        </wp:anchor>
      </w:drawing>
    </w:r>
  </w:p>
  <w:p w:rsidR="005C6DA3" w:rsidRPr="00794E61" w:rsidRDefault="005C6DA3" w:rsidP="002A5516">
    <w:pPr>
      <w:pStyle w:val="Encabezado"/>
      <w:jc w:val="right"/>
      <w:rPr>
        <w:rFonts w:ascii="Bookman Old Style" w:hAnsi="Bookman Old Style"/>
        <w:sz w:val="20"/>
        <w:szCs w:val="20"/>
      </w:rPr>
    </w:pPr>
    <w:r w:rsidRPr="00794E61">
      <w:rPr>
        <w:rFonts w:ascii="Bookman Old Style" w:hAnsi="Bookman Old Style"/>
        <w:sz w:val="20"/>
        <w:szCs w:val="20"/>
      </w:rPr>
      <w:t>Única instancia Nº 49.734</w:t>
    </w:r>
  </w:p>
  <w:p w:rsidR="005C6DA3" w:rsidRPr="00DC43E0" w:rsidRDefault="005C6DA3" w:rsidP="002A5516">
    <w:pPr>
      <w:pStyle w:val="Encabezado"/>
      <w:jc w:val="right"/>
      <w:rPr>
        <w:rFonts w:ascii="Bookman Old Style" w:hAnsi="Bookman Old Style"/>
        <w:sz w:val="19"/>
        <w:szCs w:val="19"/>
      </w:rPr>
    </w:pPr>
    <w:r w:rsidRPr="00DC43E0">
      <w:rPr>
        <w:rFonts w:ascii="Bookman Old Style" w:hAnsi="Bookman Old Style"/>
        <w:sz w:val="19"/>
        <w:szCs w:val="19"/>
      </w:rPr>
      <w:t xml:space="preserve">JULIO ENRIQUE ACOSTA BERNAL </w:t>
    </w:r>
  </w:p>
  <w:p w:rsidR="005C6DA3" w:rsidRDefault="005C6DA3" w:rsidP="002A5516">
    <w:pPr>
      <w:pStyle w:val="Encabezado"/>
      <w:rPr>
        <w:szCs w:val="18"/>
      </w:rPr>
    </w:pPr>
  </w:p>
  <w:p w:rsidR="005C6DA3" w:rsidRDefault="005C6DA3" w:rsidP="002A5516">
    <w:pPr>
      <w:pStyle w:val="Encabezado"/>
      <w:rPr>
        <w:szCs w:val="18"/>
      </w:rPr>
    </w:pPr>
  </w:p>
  <w:p w:rsidR="005C6DA3" w:rsidRDefault="005C6DA3" w:rsidP="00794E61">
    <w:pPr>
      <w:pStyle w:val="Encabezado"/>
      <w:tabs>
        <w:tab w:val="clear" w:pos="4252"/>
        <w:tab w:val="clear" w:pos="8504"/>
        <w:tab w:val="left" w:pos="7440"/>
      </w:tabs>
      <w:rPr>
        <w:szCs w:val="18"/>
      </w:rPr>
    </w:pPr>
    <w:r>
      <w:rPr>
        <w:szCs w:val="18"/>
      </w:rPr>
      <w:tab/>
    </w:r>
  </w:p>
  <w:p w:rsidR="005C6DA3" w:rsidRDefault="005C6DA3" w:rsidP="002A5516">
    <w:pPr>
      <w:pStyle w:val="Encabezado"/>
      <w:rPr>
        <w:szCs w:val="18"/>
      </w:rPr>
    </w:pPr>
  </w:p>
  <w:p w:rsidR="005C6DA3" w:rsidRPr="001A69EB" w:rsidRDefault="005C6DA3" w:rsidP="002A5516">
    <w:pPr>
      <w:pStyle w:val="Encabezado"/>
      <w:rPr>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6DA3" w:rsidRPr="007D3082" w:rsidRDefault="005C6DA3" w:rsidP="002A5516">
    <w:pPr>
      <w:pStyle w:val="Encabezado"/>
      <w:jc w:val="right"/>
      <w:rPr>
        <w:rFonts w:ascii="Bookman Old Style" w:hAnsi="Bookman Old Style"/>
        <w:i/>
        <w:sz w:val="22"/>
        <w:szCs w:val="22"/>
      </w:rPr>
    </w:pPr>
    <w:r w:rsidRPr="00002082">
      <w:rPr>
        <w:i/>
        <w:noProof/>
        <w:sz w:val="22"/>
        <w:szCs w:val="22"/>
        <w:lang w:val="es-CO" w:eastAsia="es-CO"/>
      </w:rPr>
      <w:drawing>
        <wp:anchor distT="0" distB="0" distL="114300" distR="114300" simplePos="0" relativeHeight="251658240" behindDoc="1" locked="0" layoutInCell="1" allowOverlap="1" wp14:anchorId="1DE1753F" wp14:editId="6D5BC55B">
          <wp:simplePos x="0" y="0"/>
          <wp:positionH relativeFrom="margin">
            <wp:align>center</wp:align>
          </wp:positionH>
          <wp:positionV relativeFrom="paragraph">
            <wp:posOffset>-391160</wp:posOffset>
          </wp:positionV>
          <wp:extent cx="1409700" cy="1727200"/>
          <wp:effectExtent l="0" t="0" r="0" b="0"/>
          <wp:wrapTopAndBottom/>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Personalizados14.png"/>
                  <pic:cNvPicPr/>
                </pic:nvPicPr>
                <pic:blipFill rotWithShape="1">
                  <a:blip r:embed="rId1" cstate="print">
                    <a:extLst>
                      <a:ext uri="{28A0092B-C50C-407E-A947-70E740481C1C}">
                        <a14:useLocalDpi xmlns:a14="http://schemas.microsoft.com/office/drawing/2010/main" val="0"/>
                      </a:ext>
                    </a:extLst>
                  </a:blip>
                  <a:srcRect l="14743" t="3206" r="14103" b="9615"/>
                  <a:stretch/>
                </pic:blipFill>
                <pic:spPr bwMode="auto">
                  <a:xfrm>
                    <a:off x="0" y="0"/>
                    <a:ext cx="1409700" cy="1727200"/>
                  </a:xfrm>
                  <a:prstGeom prst="rect">
                    <a:avLst/>
                  </a:prstGeom>
                  <a:ln>
                    <a:noFill/>
                  </a:ln>
                  <a:extLst>
                    <a:ext uri="{53640926-AAD7-44D8-BBD7-CCE9431645EC}">
                      <a14:shadowObscured xmlns:a14="http://schemas.microsoft.com/office/drawing/2010/main"/>
                    </a:ext>
                  </a:extLst>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4557C4"/>
    <w:multiLevelType w:val="hybridMultilevel"/>
    <w:tmpl w:val="188C346C"/>
    <w:lvl w:ilvl="0" w:tplc="096A9A1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4E601DD"/>
    <w:multiLevelType w:val="hybridMultilevel"/>
    <w:tmpl w:val="AEE2A7AE"/>
    <w:lvl w:ilvl="0" w:tplc="04DCD9C4">
      <w:start w:val="1"/>
      <w:numFmt w:val="lowerRoman"/>
      <w:lvlText w:val="%1."/>
      <w:lvlJc w:val="left"/>
      <w:pPr>
        <w:ind w:left="1080" w:hanging="720"/>
      </w:pPr>
      <w:rPr>
        <w:rFonts w:hint="default"/>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214755EA"/>
    <w:multiLevelType w:val="hybridMultilevel"/>
    <w:tmpl w:val="46FC961C"/>
    <w:lvl w:ilvl="0" w:tplc="C95C6C1E">
      <w:start w:val="1"/>
      <w:numFmt w:val="decimal"/>
      <w:lvlText w:val="%1."/>
      <w:lvlJc w:val="left"/>
      <w:pPr>
        <w:ind w:left="1065" w:hanging="360"/>
      </w:pPr>
      <w:rPr>
        <w:rFonts w:hint="default"/>
      </w:rPr>
    </w:lvl>
    <w:lvl w:ilvl="1" w:tplc="240A0019" w:tentative="1">
      <w:start w:val="1"/>
      <w:numFmt w:val="lowerLetter"/>
      <w:lvlText w:val="%2."/>
      <w:lvlJc w:val="left"/>
      <w:pPr>
        <w:ind w:left="1785" w:hanging="360"/>
      </w:pPr>
    </w:lvl>
    <w:lvl w:ilvl="2" w:tplc="240A001B" w:tentative="1">
      <w:start w:val="1"/>
      <w:numFmt w:val="lowerRoman"/>
      <w:lvlText w:val="%3."/>
      <w:lvlJc w:val="right"/>
      <w:pPr>
        <w:ind w:left="2505" w:hanging="180"/>
      </w:pPr>
    </w:lvl>
    <w:lvl w:ilvl="3" w:tplc="240A000F" w:tentative="1">
      <w:start w:val="1"/>
      <w:numFmt w:val="decimal"/>
      <w:lvlText w:val="%4."/>
      <w:lvlJc w:val="left"/>
      <w:pPr>
        <w:ind w:left="3225" w:hanging="360"/>
      </w:pPr>
    </w:lvl>
    <w:lvl w:ilvl="4" w:tplc="240A0019" w:tentative="1">
      <w:start w:val="1"/>
      <w:numFmt w:val="lowerLetter"/>
      <w:lvlText w:val="%5."/>
      <w:lvlJc w:val="left"/>
      <w:pPr>
        <w:ind w:left="3945" w:hanging="360"/>
      </w:pPr>
    </w:lvl>
    <w:lvl w:ilvl="5" w:tplc="240A001B" w:tentative="1">
      <w:start w:val="1"/>
      <w:numFmt w:val="lowerRoman"/>
      <w:lvlText w:val="%6."/>
      <w:lvlJc w:val="right"/>
      <w:pPr>
        <w:ind w:left="4665" w:hanging="180"/>
      </w:pPr>
    </w:lvl>
    <w:lvl w:ilvl="6" w:tplc="240A000F" w:tentative="1">
      <w:start w:val="1"/>
      <w:numFmt w:val="decimal"/>
      <w:lvlText w:val="%7."/>
      <w:lvlJc w:val="left"/>
      <w:pPr>
        <w:ind w:left="5385" w:hanging="360"/>
      </w:pPr>
    </w:lvl>
    <w:lvl w:ilvl="7" w:tplc="240A0019" w:tentative="1">
      <w:start w:val="1"/>
      <w:numFmt w:val="lowerLetter"/>
      <w:lvlText w:val="%8."/>
      <w:lvlJc w:val="left"/>
      <w:pPr>
        <w:ind w:left="6105" w:hanging="360"/>
      </w:pPr>
    </w:lvl>
    <w:lvl w:ilvl="8" w:tplc="240A001B" w:tentative="1">
      <w:start w:val="1"/>
      <w:numFmt w:val="lowerRoman"/>
      <w:lvlText w:val="%9."/>
      <w:lvlJc w:val="right"/>
      <w:pPr>
        <w:ind w:left="6825" w:hanging="180"/>
      </w:pPr>
    </w:lvl>
  </w:abstractNum>
  <w:abstractNum w:abstractNumId="3">
    <w:nsid w:val="288779ED"/>
    <w:multiLevelType w:val="hybridMultilevel"/>
    <w:tmpl w:val="A55671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2F760679"/>
    <w:multiLevelType w:val="hybridMultilevel"/>
    <w:tmpl w:val="E0A6038C"/>
    <w:lvl w:ilvl="0" w:tplc="5A0013EE">
      <w:start w:val="1"/>
      <w:numFmt w:val="decimal"/>
      <w:lvlText w:val="%1."/>
      <w:lvlJc w:val="left"/>
      <w:pPr>
        <w:ind w:left="1065" w:hanging="360"/>
      </w:pPr>
      <w:rPr>
        <w:rFonts w:hint="default"/>
      </w:rPr>
    </w:lvl>
    <w:lvl w:ilvl="1" w:tplc="240A0019" w:tentative="1">
      <w:start w:val="1"/>
      <w:numFmt w:val="lowerLetter"/>
      <w:lvlText w:val="%2."/>
      <w:lvlJc w:val="left"/>
      <w:pPr>
        <w:ind w:left="1785" w:hanging="360"/>
      </w:pPr>
    </w:lvl>
    <w:lvl w:ilvl="2" w:tplc="240A001B" w:tentative="1">
      <w:start w:val="1"/>
      <w:numFmt w:val="lowerRoman"/>
      <w:lvlText w:val="%3."/>
      <w:lvlJc w:val="right"/>
      <w:pPr>
        <w:ind w:left="2505" w:hanging="180"/>
      </w:pPr>
    </w:lvl>
    <w:lvl w:ilvl="3" w:tplc="240A000F" w:tentative="1">
      <w:start w:val="1"/>
      <w:numFmt w:val="decimal"/>
      <w:lvlText w:val="%4."/>
      <w:lvlJc w:val="left"/>
      <w:pPr>
        <w:ind w:left="3225" w:hanging="360"/>
      </w:pPr>
    </w:lvl>
    <w:lvl w:ilvl="4" w:tplc="240A0019" w:tentative="1">
      <w:start w:val="1"/>
      <w:numFmt w:val="lowerLetter"/>
      <w:lvlText w:val="%5."/>
      <w:lvlJc w:val="left"/>
      <w:pPr>
        <w:ind w:left="3945" w:hanging="360"/>
      </w:pPr>
    </w:lvl>
    <w:lvl w:ilvl="5" w:tplc="240A001B" w:tentative="1">
      <w:start w:val="1"/>
      <w:numFmt w:val="lowerRoman"/>
      <w:lvlText w:val="%6."/>
      <w:lvlJc w:val="right"/>
      <w:pPr>
        <w:ind w:left="4665" w:hanging="180"/>
      </w:pPr>
    </w:lvl>
    <w:lvl w:ilvl="6" w:tplc="240A000F" w:tentative="1">
      <w:start w:val="1"/>
      <w:numFmt w:val="decimal"/>
      <w:lvlText w:val="%7."/>
      <w:lvlJc w:val="left"/>
      <w:pPr>
        <w:ind w:left="5385" w:hanging="360"/>
      </w:pPr>
    </w:lvl>
    <w:lvl w:ilvl="7" w:tplc="240A0019" w:tentative="1">
      <w:start w:val="1"/>
      <w:numFmt w:val="lowerLetter"/>
      <w:lvlText w:val="%8."/>
      <w:lvlJc w:val="left"/>
      <w:pPr>
        <w:ind w:left="6105" w:hanging="360"/>
      </w:pPr>
    </w:lvl>
    <w:lvl w:ilvl="8" w:tplc="240A001B" w:tentative="1">
      <w:start w:val="1"/>
      <w:numFmt w:val="lowerRoman"/>
      <w:lvlText w:val="%9."/>
      <w:lvlJc w:val="right"/>
      <w:pPr>
        <w:ind w:left="6825" w:hanging="180"/>
      </w:pPr>
    </w:lvl>
  </w:abstractNum>
  <w:abstractNum w:abstractNumId="5">
    <w:nsid w:val="46CA724A"/>
    <w:multiLevelType w:val="hybridMultilevel"/>
    <w:tmpl w:val="9830D95C"/>
    <w:lvl w:ilvl="0" w:tplc="AA6A158A">
      <w:start w:val="1"/>
      <w:numFmt w:val="lowerRoman"/>
      <w:lvlText w:val="%1."/>
      <w:lvlJc w:val="left"/>
      <w:pPr>
        <w:ind w:left="1428" w:hanging="720"/>
      </w:pPr>
      <w:rPr>
        <w:rFonts w:hint="default"/>
        <w:i/>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6">
    <w:nsid w:val="4CF40449"/>
    <w:multiLevelType w:val="hybridMultilevel"/>
    <w:tmpl w:val="66F2A8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4ED1666F"/>
    <w:multiLevelType w:val="hybridMultilevel"/>
    <w:tmpl w:val="987C6E3E"/>
    <w:lvl w:ilvl="0" w:tplc="DF0A212A">
      <w:start w:val="1"/>
      <w:numFmt w:val="lowerRoman"/>
      <w:lvlText w:val="%1."/>
      <w:lvlJc w:val="left"/>
      <w:pPr>
        <w:ind w:left="1080" w:hanging="720"/>
      </w:pPr>
      <w:rPr>
        <w:rFonts w:hint="default"/>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51B00E81"/>
    <w:multiLevelType w:val="hybridMultilevel"/>
    <w:tmpl w:val="8D94F1DC"/>
    <w:lvl w:ilvl="0" w:tplc="374CBDBC">
      <w:start w:val="1"/>
      <w:numFmt w:val="decimal"/>
      <w:lvlText w:val="%1."/>
      <w:lvlJc w:val="left"/>
      <w:pPr>
        <w:ind w:left="720" w:hanging="360"/>
      </w:pPr>
      <w:rPr>
        <w:rFonts w:hint="default"/>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565671E4"/>
    <w:multiLevelType w:val="hybridMultilevel"/>
    <w:tmpl w:val="BF30398C"/>
    <w:lvl w:ilvl="0" w:tplc="26A0301A">
      <w:start w:val="1"/>
      <w:numFmt w:val="lowerRoman"/>
      <w:lvlText w:val="%1)"/>
      <w:lvlJc w:val="left"/>
      <w:pPr>
        <w:ind w:left="1425" w:hanging="720"/>
      </w:pPr>
      <w:rPr>
        <w:rFonts w:hint="default"/>
      </w:rPr>
    </w:lvl>
    <w:lvl w:ilvl="1" w:tplc="240A0019" w:tentative="1">
      <w:start w:val="1"/>
      <w:numFmt w:val="lowerLetter"/>
      <w:lvlText w:val="%2."/>
      <w:lvlJc w:val="left"/>
      <w:pPr>
        <w:ind w:left="1785" w:hanging="360"/>
      </w:pPr>
    </w:lvl>
    <w:lvl w:ilvl="2" w:tplc="240A001B" w:tentative="1">
      <w:start w:val="1"/>
      <w:numFmt w:val="lowerRoman"/>
      <w:lvlText w:val="%3."/>
      <w:lvlJc w:val="right"/>
      <w:pPr>
        <w:ind w:left="2505" w:hanging="180"/>
      </w:pPr>
    </w:lvl>
    <w:lvl w:ilvl="3" w:tplc="240A000F" w:tentative="1">
      <w:start w:val="1"/>
      <w:numFmt w:val="decimal"/>
      <w:lvlText w:val="%4."/>
      <w:lvlJc w:val="left"/>
      <w:pPr>
        <w:ind w:left="3225" w:hanging="360"/>
      </w:pPr>
    </w:lvl>
    <w:lvl w:ilvl="4" w:tplc="240A0019" w:tentative="1">
      <w:start w:val="1"/>
      <w:numFmt w:val="lowerLetter"/>
      <w:lvlText w:val="%5."/>
      <w:lvlJc w:val="left"/>
      <w:pPr>
        <w:ind w:left="3945" w:hanging="360"/>
      </w:pPr>
    </w:lvl>
    <w:lvl w:ilvl="5" w:tplc="240A001B" w:tentative="1">
      <w:start w:val="1"/>
      <w:numFmt w:val="lowerRoman"/>
      <w:lvlText w:val="%6."/>
      <w:lvlJc w:val="right"/>
      <w:pPr>
        <w:ind w:left="4665" w:hanging="180"/>
      </w:pPr>
    </w:lvl>
    <w:lvl w:ilvl="6" w:tplc="240A000F" w:tentative="1">
      <w:start w:val="1"/>
      <w:numFmt w:val="decimal"/>
      <w:lvlText w:val="%7."/>
      <w:lvlJc w:val="left"/>
      <w:pPr>
        <w:ind w:left="5385" w:hanging="360"/>
      </w:pPr>
    </w:lvl>
    <w:lvl w:ilvl="7" w:tplc="240A0019" w:tentative="1">
      <w:start w:val="1"/>
      <w:numFmt w:val="lowerLetter"/>
      <w:lvlText w:val="%8."/>
      <w:lvlJc w:val="left"/>
      <w:pPr>
        <w:ind w:left="6105" w:hanging="360"/>
      </w:pPr>
    </w:lvl>
    <w:lvl w:ilvl="8" w:tplc="240A001B" w:tentative="1">
      <w:start w:val="1"/>
      <w:numFmt w:val="lowerRoman"/>
      <w:lvlText w:val="%9."/>
      <w:lvlJc w:val="right"/>
      <w:pPr>
        <w:ind w:left="6825" w:hanging="180"/>
      </w:pPr>
    </w:lvl>
  </w:abstractNum>
  <w:abstractNum w:abstractNumId="10">
    <w:nsid w:val="69FF28DF"/>
    <w:multiLevelType w:val="hybridMultilevel"/>
    <w:tmpl w:val="74DC9B64"/>
    <w:lvl w:ilvl="0" w:tplc="C4FEDA2C">
      <w:start w:val="1"/>
      <w:numFmt w:val="decimal"/>
      <w:lvlText w:val="%1."/>
      <w:lvlJc w:val="left"/>
      <w:pPr>
        <w:ind w:left="1065" w:hanging="360"/>
      </w:pPr>
      <w:rPr>
        <w:rFonts w:hint="default"/>
      </w:rPr>
    </w:lvl>
    <w:lvl w:ilvl="1" w:tplc="240A0019" w:tentative="1">
      <w:start w:val="1"/>
      <w:numFmt w:val="lowerLetter"/>
      <w:lvlText w:val="%2."/>
      <w:lvlJc w:val="left"/>
      <w:pPr>
        <w:ind w:left="1785" w:hanging="360"/>
      </w:pPr>
    </w:lvl>
    <w:lvl w:ilvl="2" w:tplc="240A001B" w:tentative="1">
      <w:start w:val="1"/>
      <w:numFmt w:val="lowerRoman"/>
      <w:lvlText w:val="%3."/>
      <w:lvlJc w:val="right"/>
      <w:pPr>
        <w:ind w:left="2505" w:hanging="180"/>
      </w:pPr>
    </w:lvl>
    <w:lvl w:ilvl="3" w:tplc="240A000F" w:tentative="1">
      <w:start w:val="1"/>
      <w:numFmt w:val="decimal"/>
      <w:lvlText w:val="%4."/>
      <w:lvlJc w:val="left"/>
      <w:pPr>
        <w:ind w:left="3225" w:hanging="360"/>
      </w:pPr>
    </w:lvl>
    <w:lvl w:ilvl="4" w:tplc="240A0019" w:tentative="1">
      <w:start w:val="1"/>
      <w:numFmt w:val="lowerLetter"/>
      <w:lvlText w:val="%5."/>
      <w:lvlJc w:val="left"/>
      <w:pPr>
        <w:ind w:left="3945" w:hanging="360"/>
      </w:pPr>
    </w:lvl>
    <w:lvl w:ilvl="5" w:tplc="240A001B" w:tentative="1">
      <w:start w:val="1"/>
      <w:numFmt w:val="lowerRoman"/>
      <w:lvlText w:val="%6."/>
      <w:lvlJc w:val="right"/>
      <w:pPr>
        <w:ind w:left="4665" w:hanging="180"/>
      </w:pPr>
    </w:lvl>
    <w:lvl w:ilvl="6" w:tplc="240A000F" w:tentative="1">
      <w:start w:val="1"/>
      <w:numFmt w:val="decimal"/>
      <w:lvlText w:val="%7."/>
      <w:lvlJc w:val="left"/>
      <w:pPr>
        <w:ind w:left="5385" w:hanging="360"/>
      </w:pPr>
    </w:lvl>
    <w:lvl w:ilvl="7" w:tplc="240A0019" w:tentative="1">
      <w:start w:val="1"/>
      <w:numFmt w:val="lowerLetter"/>
      <w:lvlText w:val="%8."/>
      <w:lvlJc w:val="left"/>
      <w:pPr>
        <w:ind w:left="6105" w:hanging="360"/>
      </w:pPr>
    </w:lvl>
    <w:lvl w:ilvl="8" w:tplc="240A001B" w:tentative="1">
      <w:start w:val="1"/>
      <w:numFmt w:val="lowerRoman"/>
      <w:lvlText w:val="%9."/>
      <w:lvlJc w:val="right"/>
      <w:pPr>
        <w:ind w:left="6825" w:hanging="180"/>
      </w:pPr>
    </w:lvl>
  </w:abstractNum>
  <w:num w:numId="1">
    <w:abstractNumId w:val="3"/>
  </w:num>
  <w:num w:numId="2">
    <w:abstractNumId w:val="10"/>
  </w:num>
  <w:num w:numId="3">
    <w:abstractNumId w:val="2"/>
  </w:num>
  <w:num w:numId="4">
    <w:abstractNumId w:val="6"/>
  </w:num>
  <w:num w:numId="5">
    <w:abstractNumId w:val="8"/>
  </w:num>
  <w:num w:numId="6">
    <w:abstractNumId w:val="5"/>
  </w:num>
  <w:num w:numId="7">
    <w:abstractNumId w:val="0"/>
  </w:num>
  <w:num w:numId="8">
    <w:abstractNumId w:val="7"/>
  </w:num>
  <w:num w:numId="9">
    <w:abstractNumId w:val="1"/>
  </w:num>
  <w:num w:numId="10">
    <w:abstractNumId w:val="9"/>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7CB3"/>
    <w:rsid w:val="00003492"/>
    <w:rsid w:val="00004081"/>
    <w:rsid w:val="00004370"/>
    <w:rsid w:val="00004C72"/>
    <w:rsid w:val="0001212B"/>
    <w:rsid w:val="00013FE7"/>
    <w:rsid w:val="00015EE6"/>
    <w:rsid w:val="0001608E"/>
    <w:rsid w:val="00017FD5"/>
    <w:rsid w:val="0002073E"/>
    <w:rsid w:val="00020848"/>
    <w:rsid w:val="00020A66"/>
    <w:rsid w:val="0002250E"/>
    <w:rsid w:val="00023069"/>
    <w:rsid w:val="00024485"/>
    <w:rsid w:val="00031C9A"/>
    <w:rsid w:val="00032351"/>
    <w:rsid w:val="00035684"/>
    <w:rsid w:val="00040890"/>
    <w:rsid w:val="00040939"/>
    <w:rsid w:val="00041CDD"/>
    <w:rsid w:val="00050E00"/>
    <w:rsid w:val="0005127F"/>
    <w:rsid w:val="0005239F"/>
    <w:rsid w:val="00067731"/>
    <w:rsid w:val="00083242"/>
    <w:rsid w:val="00083634"/>
    <w:rsid w:val="00094597"/>
    <w:rsid w:val="000A0675"/>
    <w:rsid w:val="000A077B"/>
    <w:rsid w:val="000A4120"/>
    <w:rsid w:val="000A5F72"/>
    <w:rsid w:val="000A7A99"/>
    <w:rsid w:val="000B0674"/>
    <w:rsid w:val="000B0FCE"/>
    <w:rsid w:val="000B1748"/>
    <w:rsid w:val="000B41C4"/>
    <w:rsid w:val="000B6980"/>
    <w:rsid w:val="000B76F6"/>
    <w:rsid w:val="000C2DA7"/>
    <w:rsid w:val="000D16DE"/>
    <w:rsid w:val="000D2C9A"/>
    <w:rsid w:val="000D2F8C"/>
    <w:rsid w:val="000D56C7"/>
    <w:rsid w:val="000E1728"/>
    <w:rsid w:val="000E3831"/>
    <w:rsid w:val="000E67E5"/>
    <w:rsid w:val="000F2A0E"/>
    <w:rsid w:val="000F324D"/>
    <w:rsid w:val="000F6B6E"/>
    <w:rsid w:val="000F6C5D"/>
    <w:rsid w:val="000F7FCE"/>
    <w:rsid w:val="00104548"/>
    <w:rsid w:val="00111715"/>
    <w:rsid w:val="00111A93"/>
    <w:rsid w:val="0011222F"/>
    <w:rsid w:val="0011239F"/>
    <w:rsid w:val="0011287B"/>
    <w:rsid w:val="00120A14"/>
    <w:rsid w:val="00130320"/>
    <w:rsid w:val="00132FCA"/>
    <w:rsid w:val="001350EC"/>
    <w:rsid w:val="00135D38"/>
    <w:rsid w:val="00137C4C"/>
    <w:rsid w:val="001446EF"/>
    <w:rsid w:val="0014788C"/>
    <w:rsid w:val="00152C06"/>
    <w:rsid w:val="0016139F"/>
    <w:rsid w:val="00165CD0"/>
    <w:rsid w:val="00171F92"/>
    <w:rsid w:val="00174923"/>
    <w:rsid w:val="00176CC0"/>
    <w:rsid w:val="0018098F"/>
    <w:rsid w:val="0018320C"/>
    <w:rsid w:val="00184F10"/>
    <w:rsid w:val="001865A6"/>
    <w:rsid w:val="0018752D"/>
    <w:rsid w:val="001945A8"/>
    <w:rsid w:val="00197AD9"/>
    <w:rsid w:val="001A00A1"/>
    <w:rsid w:val="001A4C44"/>
    <w:rsid w:val="001B359A"/>
    <w:rsid w:val="001C0CE7"/>
    <w:rsid w:val="001C365F"/>
    <w:rsid w:val="001D01CC"/>
    <w:rsid w:val="001D1AAB"/>
    <w:rsid w:val="001D25E0"/>
    <w:rsid w:val="001D2EDB"/>
    <w:rsid w:val="001D47B4"/>
    <w:rsid w:val="001F2123"/>
    <w:rsid w:val="00201B30"/>
    <w:rsid w:val="002059D7"/>
    <w:rsid w:val="00206A26"/>
    <w:rsid w:val="00210C34"/>
    <w:rsid w:val="002110D0"/>
    <w:rsid w:val="002125C6"/>
    <w:rsid w:val="0021624F"/>
    <w:rsid w:val="0021728F"/>
    <w:rsid w:val="00222E01"/>
    <w:rsid w:val="00224239"/>
    <w:rsid w:val="0022581B"/>
    <w:rsid w:val="00227A8E"/>
    <w:rsid w:val="002307CE"/>
    <w:rsid w:val="00230C9C"/>
    <w:rsid w:val="00232AB4"/>
    <w:rsid w:val="0023372A"/>
    <w:rsid w:val="002342D1"/>
    <w:rsid w:val="00235738"/>
    <w:rsid w:val="002409CD"/>
    <w:rsid w:val="0024266D"/>
    <w:rsid w:val="0024441C"/>
    <w:rsid w:val="00250660"/>
    <w:rsid w:val="00254212"/>
    <w:rsid w:val="00254881"/>
    <w:rsid w:val="00257A59"/>
    <w:rsid w:val="00260C5A"/>
    <w:rsid w:val="00262934"/>
    <w:rsid w:val="00262A79"/>
    <w:rsid w:val="00263D15"/>
    <w:rsid w:val="00266A77"/>
    <w:rsid w:val="002706EF"/>
    <w:rsid w:val="00270B99"/>
    <w:rsid w:val="002715C2"/>
    <w:rsid w:val="002758EA"/>
    <w:rsid w:val="00275D49"/>
    <w:rsid w:val="0028334A"/>
    <w:rsid w:val="00292C3E"/>
    <w:rsid w:val="00295618"/>
    <w:rsid w:val="002A12AE"/>
    <w:rsid w:val="002A3B9D"/>
    <w:rsid w:val="002A5516"/>
    <w:rsid w:val="002B2C91"/>
    <w:rsid w:val="002C08E8"/>
    <w:rsid w:val="002D12B6"/>
    <w:rsid w:val="002D359A"/>
    <w:rsid w:val="002E18C2"/>
    <w:rsid w:val="002E5F6F"/>
    <w:rsid w:val="00312A18"/>
    <w:rsid w:val="00312F01"/>
    <w:rsid w:val="0031416D"/>
    <w:rsid w:val="00320935"/>
    <w:rsid w:val="00321E61"/>
    <w:rsid w:val="003234CF"/>
    <w:rsid w:val="0032447C"/>
    <w:rsid w:val="00325157"/>
    <w:rsid w:val="00325C1E"/>
    <w:rsid w:val="00325DBD"/>
    <w:rsid w:val="00335048"/>
    <w:rsid w:val="00346422"/>
    <w:rsid w:val="0035175D"/>
    <w:rsid w:val="00353903"/>
    <w:rsid w:val="0035525F"/>
    <w:rsid w:val="00355A44"/>
    <w:rsid w:val="003564FE"/>
    <w:rsid w:val="0036034C"/>
    <w:rsid w:val="00360821"/>
    <w:rsid w:val="00363435"/>
    <w:rsid w:val="00365092"/>
    <w:rsid w:val="00365A54"/>
    <w:rsid w:val="0036649C"/>
    <w:rsid w:val="0036661D"/>
    <w:rsid w:val="00370B71"/>
    <w:rsid w:val="00371352"/>
    <w:rsid w:val="00372B85"/>
    <w:rsid w:val="00374DDC"/>
    <w:rsid w:val="00377DEE"/>
    <w:rsid w:val="003804C6"/>
    <w:rsid w:val="00386827"/>
    <w:rsid w:val="00392F05"/>
    <w:rsid w:val="003963E9"/>
    <w:rsid w:val="00396970"/>
    <w:rsid w:val="00397980"/>
    <w:rsid w:val="003A1AA8"/>
    <w:rsid w:val="003A6463"/>
    <w:rsid w:val="003B4147"/>
    <w:rsid w:val="003B599A"/>
    <w:rsid w:val="003C00F7"/>
    <w:rsid w:val="003C0AF9"/>
    <w:rsid w:val="003C353B"/>
    <w:rsid w:val="003C3789"/>
    <w:rsid w:val="003C6614"/>
    <w:rsid w:val="003C731E"/>
    <w:rsid w:val="003D6855"/>
    <w:rsid w:val="003E0606"/>
    <w:rsid w:val="003E50A3"/>
    <w:rsid w:val="003E51BE"/>
    <w:rsid w:val="003E7491"/>
    <w:rsid w:val="003F554C"/>
    <w:rsid w:val="004002C9"/>
    <w:rsid w:val="004014FD"/>
    <w:rsid w:val="00404780"/>
    <w:rsid w:val="0040533B"/>
    <w:rsid w:val="00407ECF"/>
    <w:rsid w:val="00410232"/>
    <w:rsid w:val="00410421"/>
    <w:rsid w:val="00414806"/>
    <w:rsid w:val="00422C8A"/>
    <w:rsid w:val="00423BA0"/>
    <w:rsid w:val="00424166"/>
    <w:rsid w:val="0042526C"/>
    <w:rsid w:val="004314B4"/>
    <w:rsid w:val="004321F0"/>
    <w:rsid w:val="00437AF3"/>
    <w:rsid w:val="00441334"/>
    <w:rsid w:val="00441EAA"/>
    <w:rsid w:val="004444D4"/>
    <w:rsid w:val="00445BF8"/>
    <w:rsid w:val="00446478"/>
    <w:rsid w:val="004469BC"/>
    <w:rsid w:val="00450B25"/>
    <w:rsid w:val="00450D2C"/>
    <w:rsid w:val="004541D7"/>
    <w:rsid w:val="00455CB8"/>
    <w:rsid w:val="00457003"/>
    <w:rsid w:val="00460984"/>
    <w:rsid w:val="00461378"/>
    <w:rsid w:val="00463616"/>
    <w:rsid w:val="00464F69"/>
    <w:rsid w:val="004674BE"/>
    <w:rsid w:val="0047012E"/>
    <w:rsid w:val="00471DD5"/>
    <w:rsid w:val="00476409"/>
    <w:rsid w:val="004775B5"/>
    <w:rsid w:val="00477A9D"/>
    <w:rsid w:val="0048044D"/>
    <w:rsid w:val="00484F15"/>
    <w:rsid w:val="0049562D"/>
    <w:rsid w:val="00496BD8"/>
    <w:rsid w:val="004A156D"/>
    <w:rsid w:val="004A1ADC"/>
    <w:rsid w:val="004A42FE"/>
    <w:rsid w:val="004B1F20"/>
    <w:rsid w:val="004B5662"/>
    <w:rsid w:val="004C36D1"/>
    <w:rsid w:val="004C4B12"/>
    <w:rsid w:val="004C53D0"/>
    <w:rsid w:val="004D1D73"/>
    <w:rsid w:val="004E08EB"/>
    <w:rsid w:val="004E48C0"/>
    <w:rsid w:val="004E6FB0"/>
    <w:rsid w:val="004F0711"/>
    <w:rsid w:val="004F278B"/>
    <w:rsid w:val="004F3D36"/>
    <w:rsid w:val="00503E78"/>
    <w:rsid w:val="0051028E"/>
    <w:rsid w:val="005168E5"/>
    <w:rsid w:val="00520303"/>
    <w:rsid w:val="00520866"/>
    <w:rsid w:val="0052189E"/>
    <w:rsid w:val="0052398C"/>
    <w:rsid w:val="0052548E"/>
    <w:rsid w:val="00526945"/>
    <w:rsid w:val="00527244"/>
    <w:rsid w:val="005302D6"/>
    <w:rsid w:val="005312FC"/>
    <w:rsid w:val="00536932"/>
    <w:rsid w:val="00540C7B"/>
    <w:rsid w:val="00541311"/>
    <w:rsid w:val="00541CC3"/>
    <w:rsid w:val="005447E1"/>
    <w:rsid w:val="005459B0"/>
    <w:rsid w:val="00546551"/>
    <w:rsid w:val="00553682"/>
    <w:rsid w:val="00554FDF"/>
    <w:rsid w:val="00564139"/>
    <w:rsid w:val="005947B0"/>
    <w:rsid w:val="00597974"/>
    <w:rsid w:val="005A6C0C"/>
    <w:rsid w:val="005B1349"/>
    <w:rsid w:val="005B5180"/>
    <w:rsid w:val="005B5C3B"/>
    <w:rsid w:val="005C13A6"/>
    <w:rsid w:val="005C170C"/>
    <w:rsid w:val="005C299A"/>
    <w:rsid w:val="005C416C"/>
    <w:rsid w:val="005C6DA3"/>
    <w:rsid w:val="005D0AD4"/>
    <w:rsid w:val="005D7861"/>
    <w:rsid w:val="005E2B2F"/>
    <w:rsid w:val="005E52BA"/>
    <w:rsid w:val="005E5F5B"/>
    <w:rsid w:val="005E6EDD"/>
    <w:rsid w:val="005E7252"/>
    <w:rsid w:val="005F5124"/>
    <w:rsid w:val="005F54DE"/>
    <w:rsid w:val="005F770D"/>
    <w:rsid w:val="006017BC"/>
    <w:rsid w:val="00605C56"/>
    <w:rsid w:val="00607EDE"/>
    <w:rsid w:val="00612F7E"/>
    <w:rsid w:val="00613FD3"/>
    <w:rsid w:val="00621160"/>
    <w:rsid w:val="00622219"/>
    <w:rsid w:val="00626B0C"/>
    <w:rsid w:val="00627187"/>
    <w:rsid w:val="00627955"/>
    <w:rsid w:val="006324A1"/>
    <w:rsid w:val="006516E9"/>
    <w:rsid w:val="006532B4"/>
    <w:rsid w:val="00654E21"/>
    <w:rsid w:val="0065514B"/>
    <w:rsid w:val="00656A6A"/>
    <w:rsid w:val="00657DB0"/>
    <w:rsid w:val="006672E8"/>
    <w:rsid w:val="00667956"/>
    <w:rsid w:val="00671FA3"/>
    <w:rsid w:val="00674DCC"/>
    <w:rsid w:val="00680D8F"/>
    <w:rsid w:val="006859A9"/>
    <w:rsid w:val="00686526"/>
    <w:rsid w:val="006900B4"/>
    <w:rsid w:val="00691782"/>
    <w:rsid w:val="00696115"/>
    <w:rsid w:val="00696628"/>
    <w:rsid w:val="006A2204"/>
    <w:rsid w:val="006A34AF"/>
    <w:rsid w:val="006A3DD4"/>
    <w:rsid w:val="006A3FA5"/>
    <w:rsid w:val="006B19A5"/>
    <w:rsid w:val="006B3125"/>
    <w:rsid w:val="006B411B"/>
    <w:rsid w:val="006C3A97"/>
    <w:rsid w:val="006D60CF"/>
    <w:rsid w:val="006E0C47"/>
    <w:rsid w:val="006E50B7"/>
    <w:rsid w:val="006E701D"/>
    <w:rsid w:val="006F0DB5"/>
    <w:rsid w:val="006F316C"/>
    <w:rsid w:val="006F470E"/>
    <w:rsid w:val="006F525F"/>
    <w:rsid w:val="006F5CE7"/>
    <w:rsid w:val="006F7575"/>
    <w:rsid w:val="007006D4"/>
    <w:rsid w:val="0072060F"/>
    <w:rsid w:val="007258B9"/>
    <w:rsid w:val="007269A0"/>
    <w:rsid w:val="00726B05"/>
    <w:rsid w:val="00727797"/>
    <w:rsid w:val="00727F29"/>
    <w:rsid w:val="00730CCE"/>
    <w:rsid w:val="00731277"/>
    <w:rsid w:val="00732EED"/>
    <w:rsid w:val="0073346E"/>
    <w:rsid w:val="00736A1C"/>
    <w:rsid w:val="007379E6"/>
    <w:rsid w:val="00740C4F"/>
    <w:rsid w:val="00741033"/>
    <w:rsid w:val="00744BEF"/>
    <w:rsid w:val="00745515"/>
    <w:rsid w:val="00746123"/>
    <w:rsid w:val="00746E84"/>
    <w:rsid w:val="007504C5"/>
    <w:rsid w:val="00752C99"/>
    <w:rsid w:val="00755B78"/>
    <w:rsid w:val="00756084"/>
    <w:rsid w:val="007604C4"/>
    <w:rsid w:val="00760DF0"/>
    <w:rsid w:val="00762988"/>
    <w:rsid w:val="00763E27"/>
    <w:rsid w:val="00767A2E"/>
    <w:rsid w:val="0077175C"/>
    <w:rsid w:val="0077382E"/>
    <w:rsid w:val="0077473F"/>
    <w:rsid w:val="00780E12"/>
    <w:rsid w:val="0078261D"/>
    <w:rsid w:val="00782683"/>
    <w:rsid w:val="00785AA5"/>
    <w:rsid w:val="00791074"/>
    <w:rsid w:val="00794E61"/>
    <w:rsid w:val="00797C0D"/>
    <w:rsid w:val="007A3826"/>
    <w:rsid w:val="007A41A9"/>
    <w:rsid w:val="007B1264"/>
    <w:rsid w:val="007B3EB2"/>
    <w:rsid w:val="007B59DA"/>
    <w:rsid w:val="007C21AA"/>
    <w:rsid w:val="007C7A06"/>
    <w:rsid w:val="007D0591"/>
    <w:rsid w:val="007D102E"/>
    <w:rsid w:val="007E14B7"/>
    <w:rsid w:val="007E2E86"/>
    <w:rsid w:val="007F0382"/>
    <w:rsid w:val="007F0FD8"/>
    <w:rsid w:val="007F1A27"/>
    <w:rsid w:val="007F4E81"/>
    <w:rsid w:val="007F6A7F"/>
    <w:rsid w:val="007F7295"/>
    <w:rsid w:val="007F7B50"/>
    <w:rsid w:val="008009EA"/>
    <w:rsid w:val="008034B3"/>
    <w:rsid w:val="008055FE"/>
    <w:rsid w:val="00810C9E"/>
    <w:rsid w:val="00820C8A"/>
    <w:rsid w:val="00826F80"/>
    <w:rsid w:val="00831410"/>
    <w:rsid w:val="00835ED3"/>
    <w:rsid w:val="00837C54"/>
    <w:rsid w:val="00840A28"/>
    <w:rsid w:val="0084382B"/>
    <w:rsid w:val="008449B6"/>
    <w:rsid w:val="008464E2"/>
    <w:rsid w:val="00847145"/>
    <w:rsid w:val="00847E40"/>
    <w:rsid w:val="00854734"/>
    <w:rsid w:val="008563D8"/>
    <w:rsid w:val="0085777F"/>
    <w:rsid w:val="00860C50"/>
    <w:rsid w:val="0086518F"/>
    <w:rsid w:val="0087161B"/>
    <w:rsid w:val="008740F7"/>
    <w:rsid w:val="008745CB"/>
    <w:rsid w:val="00875735"/>
    <w:rsid w:val="00896611"/>
    <w:rsid w:val="008A394F"/>
    <w:rsid w:val="008A49BC"/>
    <w:rsid w:val="008B3777"/>
    <w:rsid w:val="008B3ED2"/>
    <w:rsid w:val="008B3FE5"/>
    <w:rsid w:val="008B652E"/>
    <w:rsid w:val="008B724A"/>
    <w:rsid w:val="008C0A7E"/>
    <w:rsid w:val="008C244D"/>
    <w:rsid w:val="008C34E9"/>
    <w:rsid w:val="008C42CC"/>
    <w:rsid w:val="008C4F4F"/>
    <w:rsid w:val="008C4F8D"/>
    <w:rsid w:val="008C63B9"/>
    <w:rsid w:val="008C6EEB"/>
    <w:rsid w:val="008D6BEB"/>
    <w:rsid w:val="008D6D08"/>
    <w:rsid w:val="008F0EB5"/>
    <w:rsid w:val="00900EB7"/>
    <w:rsid w:val="0090116F"/>
    <w:rsid w:val="00901E26"/>
    <w:rsid w:val="00916001"/>
    <w:rsid w:val="00916D77"/>
    <w:rsid w:val="009177EE"/>
    <w:rsid w:val="00917D14"/>
    <w:rsid w:val="009231AE"/>
    <w:rsid w:val="00932600"/>
    <w:rsid w:val="009344B2"/>
    <w:rsid w:val="0093531E"/>
    <w:rsid w:val="00943115"/>
    <w:rsid w:val="00944F67"/>
    <w:rsid w:val="009461C4"/>
    <w:rsid w:val="009539EE"/>
    <w:rsid w:val="00953A14"/>
    <w:rsid w:val="00954379"/>
    <w:rsid w:val="00960EC9"/>
    <w:rsid w:val="0096291A"/>
    <w:rsid w:val="009648FD"/>
    <w:rsid w:val="00972273"/>
    <w:rsid w:val="009818EB"/>
    <w:rsid w:val="00982AED"/>
    <w:rsid w:val="00983180"/>
    <w:rsid w:val="00983BD4"/>
    <w:rsid w:val="00994D28"/>
    <w:rsid w:val="009A3CFA"/>
    <w:rsid w:val="009B1410"/>
    <w:rsid w:val="009B2A6A"/>
    <w:rsid w:val="009B4F08"/>
    <w:rsid w:val="009B54B7"/>
    <w:rsid w:val="009B7B8B"/>
    <w:rsid w:val="009C2760"/>
    <w:rsid w:val="009C3016"/>
    <w:rsid w:val="009C301F"/>
    <w:rsid w:val="009C39C1"/>
    <w:rsid w:val="009E0A38"/>
    <w:rsid w:val="009E5192"/>
    <w:rsid w:val="009F2865"/>
    <w:rsid w:val="009F3C86"/>
    <w:rsid w:val="009F68BD"/>
    <w:rsid w:val="00A02DAA"/>
    <w:rsid w:val="00A05FF3"/>
    <w:rsid w:val="00A079BD"/>
    <w:rsid w:val="00A14070"/>
    <w:rsid w:val="00A24E61"/>
    <w:rsid w:val="00A25B94"/>
    <w:rsid w:val="00A27CFA"/>
    <w:rsid w:val="00A3092B"/>
    <w:rsid w:val="00A32206"/>
    <w:rsid w:val="00A41B62"/>
    <w:rsid w:val="00A42D81"/>
    <w:rsid w:val="00A434B3"/>
    <w:rsid w:val="00A46EEF"/>
    <w:rsid w:val="00A4730B"/>
    <w:rsid w:val="00A52777"/>
    <w:rsid w:val="00A547B9"/>
    <w:rsid w:val="00A557C4"/>
    <w:rsid w:val="00A60958"/>
    <w:rsid w:val="00A61B89"/>
    <w:rsid w:val="00A74A66"/>
    <w:rsid w:val="00A761B1"/>
    <w:rsid w:val="00A77C6D"/>
    <w:rsid w:val="00A92467"/>
    <w:rsid w:val="00A926FE"/>
    <w:rsid w:val="00AA3DAE"/>
    <w:rsid w:val="00AA6D4D"/>
    <w:rsid w:val="00AB1336"/>
    <w:rsid w:val="00AB377F"/>
    <w:rsid w:val="00AB5CC4"/>
    <w:rsid w:val="00AC04BD"/>
    <w:rsid w:val="00AC1B0F"/>
    <w:rsid w:val="00AC357C"/>
    <w:rsid w:val="00AC48A8"/>
    <w:rsid w:val="00AD2434"/>
    <w:rsid w:val="00AD40C3"/>
    <w:rsid w:val="00AD5827"/>
    <w:rsid w:val="00AD71D8"/>
    <w:rsid w:val="00AD76C8"/>
    <w:rsid w:val="00AE03C6"/>
    <w:rsid w:val="00AE4A24"/>
    <w:rsid w:val="00AE7CB3"/>
    <w:rsid w:val="00AF1187"/>
    <w:rsid w:val="00AF15B6"/>
    <w:rsid w:val="00AF1E93"/>
    <w:rsid w:val="00AF1F3A"/>
    <w:rsid w:val="00AF3829"/>
    <w:rsid w:val="00B0102F"/>
    <w:rsid w:val="00B1639B"/>
    <w:rsid w:val="00B37C05"/>
    <w:rsid w:val="00B41CC9"/>
    <w:rsid w:val="00B55380"/>
    <w:rsid w:val="00B56D86"/>
    <w:rsid w:val="00B56DB1"/>
    <w:rsid w:val="00B617EA"/>
    <w:rsid w:val="00B62273"/>
    <w:rsid w:val="00B718FB"/>
    <w:rsid w:val="00B71DE6"/>
    <w:rsid w:val="00B77651"/>
    <w:rsid w:val="00B80349"/>
    <w:rsid w:val="00B80958"/>
    <w:rsid w:val="00B82611"/>
    <w:rsid w:val="00B85F45"/>
    <w:rsid w:val="00B9528D"/>
    <w:rsid w:val="00BA1AFB"/>
    <w:rsid w:val="00BA1B8E"/>
    <w:rsid w:val="00BA4E0E"/>
    <w:rsid w:val="00BB2013"/>
    <w:rsid w:val="00BB64B8"/>
    <w:rsid w:val="00BC4828"/>
    <w:rsid w:val="00BD620A"/>
    <w:rsid w:val="00BE1074"/>
    <w:rsid w:val="00BE211F"/>
    <w:rsid w:val="00BE38C7"/>
    <w:rsid w:val="00BE3931"/>
    <w:rsid w:val="00BE5651"/>
    <w:rsid w:val="00BE5737"/>
    <w:rsid w:val="00BE7E60"/>
    <w:rsid w:val="00BF1CE0"/>
    <w:rsid w:val="00BF6483"/>
    <w:rsid w:val="00BF7AE3"/>
    <w:rsid w:val="00C00810"/>
    <w:rsid w:val="00C0147E"/>
    <w:rsid w:val="00C01528"/>
    <w:rsid w:val="00C17CD7"/>
    <w:rsid w:val="00C235C8"/>
    <w:rsid w:val="00C3142D"/>
    <w:rsid w:val="00C3263D"/>
    <w:rsid w:val="00C33498"/>
    <w:rsid w:val="00C4051B"/>
    <w:rsid w:val="00C46843"/>
    <w:rsid w:val="00C64ACC"/>
    <w:rsid w:val="00C703A7"/>
    <w:rsid w:val="00C7125B"/>
    <w:rsid w:val="00C76943"/>
    <w:rsid w:val="00C81A12"/>
    <w:rsid w:val="00C86DB4"/>
    <w:rsid w:val="00C94179"/>
    <w:rsid w:val="00C977FA"/>
    <w:rsid w:val="00CA11D2"/>
    <w:rsid w:val="00CA4C58"/>
    <w:rsid w:val="00CB204E"/>
    <w:rsid w:val="00CB5552"/>
    <w:rsid w:val="00CB5671"/>
    <w:rsid w:val="00CC1DAA"/>
    <w:rsid w:val="00CC63BA"/>
    <w:rsid w:val="00CC7CCB"/>
    <w:rsid w:val="00CD62BF"/>
    <w:rsid w:val="00CE5804"/>
    <w:rsid w:val="00CF4AB4"/>
    <w:rsid w:val="00D01C46"/>
    <w:rsid w:val="00D01D6A"/>
    <w:rsid w:val="00D0289F"/>
    <w:rsid w:val="00D040F5"/>
    <w:rsid w:val="00D05053"/>
    <w:rsid w:val="00D25BDB"/>
    <w:rsid w:val="00D272EB"/>
    <w:rsid w:val="00D30531"/>
    <w:rsid w:val="00D3617E"/>
    <w:rsid w:val="00D36520"/>
    <w:rsid w:val="00D36D06"/>
    <w:rsid w:val="00D370A4"/>
    <w:rsid w:val="00D374F6"/>
    <w:rsid w:val="00D408A8"/>
    <w:rsid w:val="00D41D10"/>
    <w:rsid w:val="00D43A95"/>
    <w:rsid w:val="00D43D3B"/>
    <w:rsid w:val="00D4678E"/>
    <w:rsid w:val="00D47A5B"/>
    <w:rsid w:val="00D50965"/>
    <w:rsid w:val="00D52CF0"/>
    <w:rsid w:val="00D5403F"/>
    <w:rsid w:val="00D5656A"/>
    <w:rsid w:val="00D6311E"/>
    <w:rsid w:val="00D66AFA"/>
    <w:rsid w:val="00D745BA"/>
    <w:rsid w:val="00D76A85"/>
    <w:rsid w:val="00D81AF2"/>
    <w:rsid w:val="00D85DA4"/>
    <w:rsid w:val="00D86549"/>
    <w:rsid w:val="00D87037"/>
    <w:rsid w:val="00D921CF"/>
    <w:rsid w:val="00D937B2"/>
    <w:rsid w:val="00D93816"/>
    <w:rsid w:val="00D97207"/>
    <w:rsid w:val="00DA158C"/>
    <w:rsid w:val="00DA36AE"/>
    <w:rsid w:val="00DA3A0B"/>
    <w:rsid w:val="00DA454B"/>
    <w:rsid w:val="00DB51FD"/>
    <w:rsid w:val="00DB6F3A"/>
    <w:rsid w:val="00DB70B6"/>
    <w:rsid w:val="00DC43E0"/>
    <w:rsid w:val="00DC45F4"/>
    <w:rsid w:val="00DC59A5"/>
    <w:rsid w:val="00DC73E0"/>
    <w:rsid w:val="00DD2E57"/>
    <w:rsid w:val="00DD3C4E"/>
    <w:rsid w:val="00DE0F56"/>
    <w:rsid w:val="00DE465C"/>
    <w:rsid w:val="00DF49B1"/>
    <w:rsid w:val="00DF767A"/>
    <w:rsid w:val="00E00FF3"/>
    <w:rsid w:val="00E04CC6"/>
    <w:rsid w:val="00E066EF"/>
    <w:rsid w:val="00E100A1"/>
    <w:rsid w:val="00E132A5"/>
    <w:rsid w:val="00E1482E"/>
    <w:rsid w:val="00E20C8A"/>
    <w:rsid w:val="00E24354"/>
    <w:rsid w:val="00E25FD0"/>
    <w:rsid w:val="00E3179B"/>
    <w:rsid w:val="00E32165"/>
    <w:rsid w:val="00E3345F"/>
    <w:rsid w:val="00E3443C"/>
    <w:rsid w:val="00E34991"/>
    <w:rsid w:val="00E356CE"/>
    <w:rsid w:val="00E37513"/>
    <w:rsid w:val="00E40E37"/>
    <w:rsid w:val="00E4666B"/>
    <w:rsid w:val="00E468C5"/>
    <w:rsid w:val="00E5133F"/>
    <w:rsid w:val="00E53FF3"/>
    <w:rsid w:val="00E55405"/>
    <w:rsid w:val="00E5613D"/>
    <w:rsid w:val="00E6048A"/>
    <w:rsid w:val="00E75AEB"/>
    <w:rsid w:val="00E84036"/>
    <w:rsid w:val="00E844DC"/>
    <w:rsid w:val="00E847D9"/>
    <w:rsid w:val="00E910F2"/>
    <w:rsid w:val="00E922E8"/>
    <w:rsid w:val="00E972E4"/>
    <w:rsid w:val="00E976CD"/>
    <w:rsid w:val="00EA43D9"/>
    <w:rsid w:val="00EB1302"/>
    <w:rsid w:val="00EB2DAC"/>
    <w:rsid w:val="00EB5DC5"/>
    <w:rsid w:val="00EB5DF1"/>
    <w:rsid w:val="00EB72BF"/>
    <w:rsid w:val="00EC2D8D"/>
    <w:rsid w:val="00EC2D98"/>
    <w:rsid w:val="00EC7936"/>
    <w:rsid w:val="00ED0690"/>
    <w:rsid w:val="00ED2C84"/>
    <w:rsid w:val="00ED39DF"/>
    <w:rsid w:val="00ED729F"/>
    <w:rsid w:val="00EE0917"/>
    <w:rsid w:val="00EE4280"/>
    <w:rsid w:val="00EE723F"/>
    <w:rsid w:val="00EF22D9"/>
    <w:rsid w:val="00EF5B53"/>
    <w:rsid w:val="00EF798F"/>
    <w:rsid w:val="00EF7D6D"/>
    <w:rsid w:val="00F024DD"/>
    <w:rsid w:val="00F02BE0"/>
    <w:rsid w:val="00F103F7"/>
    <w:rsid w:val="00F20DE0"/>
    <w:rsid w:val="00F2260D"/>
    <w:rsid w:val="00F22B64"/>
    <w:rsid w:val="00F24568"/>
    <w:rsid w:val="00F26B35"/>
    <w:rsid w:val="00F30E96"/>
    <w:rsid w:val="00F35CC5"/>
    <w:rsid w:val="00F515EB"/>
    <w:rsid w:val="00F52D7D"/>
    <w:rsid w:val="00F5448C"/>
    <w:rsid w:val="00F5571D"/>
    <w:rsid w:val="00F56844"/>
    <w:rsid w:val="00F57D11"/>
    <w:rsid w:val="00F57DA9"/>
    <w:rsid w:val="00F64755"/>
    <w:rsid w:val="00F70FB1"/>
    <w:rsid w:val="00F770D2"/>
    <w:rsid w:val="00F8245D"/>
    <w:rsid w:val="00F842CE"/>
    <w:rsid w:val="00F85B17"/>
    <w:rsid w:val="00F925AB"/>
    <w:rsid w:val="00F92D63"/>
    <w:rsid w:val="00F938DF"/>
    <w:rsid w:val="00FA3473"/>
    <w:rsid w:val="00FA6575"/>
    <w:rsid w:val="00FB17F2"/>
    <w:rsid w:val="00FB1E0B"/>
    <w:rsid w:val="00FB5843"/>
    <w:rsid w:val="00FC187F"/>
    <w:rsid w:val="00FC1DFD"/>
    <w:rsid w:val="00FD6396"/>
    <w:rsid w:val="00FE136F"/>
    <w:rsid w:val="00FE3E91"/>
    <w:rsid w:val="00FE3F29"/>
    <w:rsid w:val="00FF01A7"/>
    <w:rsid w:val="00FF77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8C995CF-C43F-4F5F-AA7D-0D203A251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CB3"/>
    <w:pPr>
      <w:spacing w:after="0" w:line="240" w:lineRule="auto"/>
    </w:pPr>
    <w:rPr>
      <w:rFonts w:ascii="Arial" w:eastAsia="Times New Roman" w:hAnsi="Arial" w:cs="Arial"/>
      <w:sz w:val="28"/>
      <w:szCs w:val="28"/>
      <w:lang w:val="es-ES" w:eastAsia="es-ES"/>
    </w:rPr>
  </w:style>
  <w:style w:type="paragraph" w:styleId="Ttulo1">
    <w:name w:val="heading 1"/>
    <w:basedOn w:val="Normal"/>
    <w:next w:val="Normal"/>
    <w:link w:val="Ttulo1Car"/>
    <w:qFormat/>
    <w:rsid w:val="00AE7CB3"/>
    <w:pPr>
      <w:keepNext/>
      <w:jc w:val="both"/>
      <w:outlineLvl w:val="0"/>
    </w:pPr>
    <w:rPr>
      <w:b/>
      <w:bCs/>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E7CB3"/>
    <w:rPr>
      <w:rFonts w:ascii="Arial" w:eastAsia="Times New Roman" w:hAnsi="Arial" w:cs="Arial"/>
      <w:b/>
      <w:bCs/>
      <w:sz w:val="20"/>
      <w:szCs w:val="20"/>
      <w:lang w:eastAsia="es-ES"/>
    </w:rPr>
  </w:style>
  <w:style w:type="paragraph" w:styleId="Encabezado">
    <w:name w:val="header"/>
    <w:basedOn w:val="Normal"/>
    <w:link w:val="EncabezadoCar"/>
    <w:rsid w:val="00AE7CB3"/>
    <w:pPr>
      <w:tabs>
        <w:tab w:val="center" w:pos="4252"/>
        <w:tab w:val="right" w:pos="8504"/>
      </w:tabs>
    </w:pPr>
  </w:style>
  <w:style w:type="character" w:customStyle="1" w:styleId="EncabezadoCar">
    <w:name w:val="Encabezado Car"/>
    <w:basedOn w:val="Fuentedeprrafopredeter"/>
    <w:link w:val="Encabezado"/>
    <w:rsid w:val="00AE7CB3"/>
    <w:rPr>
      <w:rFonts w:ascii="Arial" w:eastAsia="Times New Roman" w:hAnsi="Arial" w:cs="Arial"/>
      <w:sz w:val="28"/>
      <w:szCs w:val="28"/>
      <w:lang w:val="es-ES" w:eastAsia="es-ES"/>
    </w:rPr>
  </w:style>
  <w:style w:type="paragraph" w:styleId="Piedepgina">
    <w:name w:val="footer"/>
    <w:basedOn w:val="Normal"/>
    <w:link w:val="PiedepginaCar"/>
    <w:uiPriority w:val="99"/>
    <w:rsid w:val="00AE7CB3"/>
    <w:pPr>
      <w:tabs>
        <w:tab w:val="center" w:pos="4252"/>
        <w:tab w:val="right" w:pos="8504"/>
      </w:tabs>
    </w:pPr>
  </w:style>
  <w:style w:type="character" w:customStyle="1" w:styleId="PiedepginaCar">
    <w:name w:val="Pie de página Car"/>
    <w:basedOn w:val="Fuentedeprrafopredeter"/>
    <w:link w:val="Piedepgina"/>
    <w:uiPriority w:val="99"/>
    <w:rsid w:val="00AE7CB3"/>
    <w:rPr>
      <w:rFonts w:ascii="Arial" w:eastAsia="Times New Roman" w:hAnsi="Arial" w:cs="Arial"/>
      <w:sz w:val="28"/>
      <w:szCs w:val="28"/>
      <w:lang w:val="es-ES" w:eastAsia="es-ES"/>
    </w:rPr>
  </w:style>
  <w:style w:type="paragraph" w:customStyle="1" w:styleId="xmsonormal">
    <w:name w:val="x_msonormal"/>
    <w:basedOn w:val="Normal"/>
    <w:rsid w:val="00AE7CB3"/>
    <w:pPr>
      <w:spacing w:before="100" w:beforeAutospacing="1" w:after="100" w:afterAutospacing="1"/>
    </w:pPr>
    <w:rPr>
      <w:rFonts w:ascii="Times New Roman" w:hAnsi="Times New Roman" w:cs="Times New Roman"/>
      <w:sz w:val="24"/>
      <w:szCs w:val="24"/>
      <w:lang w:val="es-CO" w:eastAsia="es-CO"/>
    </w:rPr>
  </w:style>
  <w:style w:type="paragraph" w:styleId="Prrafodelista">
    <w:name w:val="List Paragraph"/>
    <w:basedOn w:val="Normal"/>
    <w:uiPriority w:val="34"/>
    <w:qFormat/>
    <w:rsid w:val="00AE7CB3"/>
    <w:pPr>
      <w:ind w:left="720"/>
      <w:contextualSpacing/>
    </w:p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FA "/>
    <w:basedOn w:val="Normal"/>
    <w:link w:val="TextonotapieCar"/>
    <w:unhideWhenUsed/>
    <w:qFormat/>
    <w:rsid w:val="00AE7CB3"/>
    <w:rPr>
      <w:sz w:val="20"/>
      <w:szCs w:val="20"/>
    </w:rPr>
  </w:style>
  <w:style w:type="character" w:customStyle="1" w:styleId="TextonotapieCar">
    <w:name w:val="Texto nota pie Car"/>
    <w:aliases w:val="Footnote Text Char Char Char Char Char Car1,Footnote Text Char Char Char Char Car1,Footnote reference Car1,FA Fu Car1,Footnote Text Cha Car1,Footnote Text Char Char Char Car1,FA Fußnotentext Car1,FA Fuﬂnotentext Car1,Footnote Te Car"/>
    <w:basedOn w:val="Fuentedeprrafopredeter"/>
    <w:link w:val="Textonotapie"/>
    <w:rsid w:val="00AE7CB3"/>
    <w:rPr>
      <w:rFonts w:ascii="Arial" w:eastAsia="Times New Roman" w:hAnsi="Arial" w:cs="Arial"/>
      <w:sz w:val="20"/>
      <w:szCs w:val="20"/>
      <w:lang w:val="es-ES" w:eastAsia="es-ES"/>
    </w:rPr>
  </w:style>
  <w:style w:type="character" w:styleId="Refdenotaalpie">
    <w:name w:val="footnote reference"/>
    <w:aliases w:val="Texto de nota al pie,FC,Appel note de bas de page,referencia nota al pie,BVI fnr,Footnote symbol,Footnote,Ref. de nota al pie2,Nota de pie,Ref,de nota al pie,Pie de pagina,Ref. ...,Ref1,Ref. de nota al pie 2,Footnotes refss,f,4_G,f1"/>
    <w:basedOn w:val="Fuentedeprrafopredeter"/>
    <w:unhideWhenUsed/>
    <w:qFormat/>
    <w:rsid w:val="00AE7CB3"/>
    <w:rPr>
      <w:vertAlign w:val="superscript"/>
    </w:rPr>
  </w:style>
  <w:style w:type="paragraph" w:customStyle="1" w:styleId="blocktext1">
    <w:name w:val="blocktext1"/>
    <w:basedOn w:val="Normal"/>
    <w:rsid w:val="007F7295"/>
    <w:pPr>
      <w:spacing w:before="100" w:beforeAutospacing="1" w:after="100" w:afterAutospacing="1"/>
    </w:pPr>
    <w:rPr>
      <w:rFonts w:ascii="Times New Roman" w:hAnsi="Times New Roman" w:cs="Times New Roman"/>
      <w:sz w:val="24"/>
      <w:szCs w:val="24"/>
      <w:lang w:val="es-CO" w:eastAsia="es-CO"/>
    </w:rPr>
  </w:style>
  <w:style w:type="paragraph" w:customStyle="1" w:styleId="TtuloFCHNivel1">
    <w:name w:val="Título FCH Nivel 1"/>
    <w:basedOn w:val="Normal"/>
    <w:next w:val="Puesto"/>
    <w:link w:val="TtuloCar"/>
    <w:uiPriority w:val="99"/>
    <w:qFormat/>
    <w:rsid w:val="00176CC0"/>
    <w:pPr>
      <w:spacing w:line="360" w:lineRule="auto"/>
      <w:ind w:right="51"/>
      <w:jc w:val="center"/>
    </w:pPr>
    <w:rPr>
      <w:rFonts w:eastAsiaTheme="minorHAnsi" w:cstheme="minorBidi"/>
      <w:b/>
      <w:szCs w:val="22"/>
      <w:lang w:val="es-CO"/>
    </w:rPr>
  </w:style>
  <w:style w:type="character" w:customStyle="1" w:styleId="TtuloCar">
    <w:name w:val="Título Car"/>
    <w:aliases w:val="Título FCH Nivel 1 Car"/>
    <w:link w:val="TtuloFCHNivel1"/>
    <w:uiPriority w:val="99"/>
    <w:rsid w:val="00176CC0"/>
    <w:rPr>
      <w:rFonts w:ascii="Arial" w:hAnsi="Arial"/>
      <w:b/>
      <w:sz w:val="28"/>
      <w:lang w:eastAsia="es-ES"/>
    </w:rPr>
  </w:style>
  <w:style w:type="paragraph" w:styleId="Textoindependiente">
    <w:name w:val="Body Text"/>
    <w:basedOn w:val="Normal"/>
    <w:link w:val="TextoindependienteCar"/>
    <w:uiPriority w:val="99"/>
    <w:rsid w:val="00176CC0"/>
    <w:pPr>
      <w:jc w:val="both"/>
    </w:pPr>
    <w:rPr>
      <w:rFonts w:ascii="Times New Roman" w:hAnsi="Times New Roman" w:cs="Times New Roman"/>
      <w:szCs w:val="20"/>
    </w:rPr>
  </w:style>
  <w:style w:type="character" w:customStyle="1" w:styleId="TextoindependienteCar">
    <w:name w:val="Texto independiente Car"/>
    <w:basedOn w:val="Fuentedeprrafopredeter"/>
    <w:link w:val="Textoindependiente"/>
    <w:uiPriority w:val="99"/>
    <w:rsid w:val="00176CC0"/>
    <w:rPr>
      <w:rFonts w:ascii="Times New Roman" w:eastAsia="Times New Roman" w:hAnsi="Times New Roman" w:cs="Times New Roman"/>
      <w:sz w:val="28"/>
      <w:szCs w:val="20"/>
      <w:lang w:val="es-ES" w:eastAsia="es-ES"/>
    </w:rPr>
  </w:style>
  <w:style w:type="character" w:customStyle="1" w:styleId="TextonotapieCar1">
    <w:name w:val="Texto nota pie Car1"/>
    <w:aliases w:val="Footnote Text Char Char Char Char Char Car,Footnote Text Char Char Char Char Car,Footnote reference Car,FA Fu Car,Footnote Text Cha Car,Footnote Text Char Char Char Car,FA Fußnotentext Car,FA Fuﬂnotentext Car,texto de nota al p Car"/>
    <w:locked/>
    <w:rsid w:val="00176CC0"/>
    <w:rPr>
      <w:rFonts w:ascii="Arial" w:hAnsi="Arial"/>
      <w:lang w:eastAsia="es-ES"/>
    </w:rPr>
  </w:style>
  <w:style w:type="paragraph" w:styleId="Lista4">
    <w:name w:val="List 4"/>
    <w:basedOn w:val="Normal"/>
    <w:rsid w:val="00176CC0"/>
    <w:pPr>
      <w:overflowPunct w:val="0"/>
      <w:autoSpaceDE w:val="0"/>
      <w:autoSpaceDN w:val="0"/>
      <w:adjustRightInd w:val="0"/>
      <w:ind w:left="1132" w:hanging="283"/>
      <w:textAlignment w:val="baseline"/>
    </w:pPr>
    <w:rPr>
      <w:rFonts w:ascii="Times New Roman" w:hAnsi="Times New Roman" w:cs="Times New Roman"/>
      <w:sz w:val="20"/>
      <w:szCs w:val="20"/>
      <w:lang w:val="es-ES_tradnl"/>
    </w:rPr>
  </w:style>
  <w:style w:type="paragraph" w:styleId="Puesto">
    <w:name w:val="Title"/>
    <w:basedOn w:val="Normal"/>
    <w:next w:val="Normal"/>
    <w:link w:val="PuestoCar"/>
    <w:qFormat/>
    <w:rsid w:val="00176CC0"/>
    <w:pPr>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rsid w:val="00176CC0"/>
    <w:rPr>
      <w:rFonts w:asciiTheme="majorHAnsi" w:eastAsiaTheme="majorEastAsia" w:hAnsiTheme="majorHAnsi" w:cstheme="majorBidi"/>
      <w:spacing w:val="-10"/>
      <w:kern w:val="28"/>
      <w:sz w:val="56"/>
      <w:szCs w:val="56"/>
      <w:lang w:val="es-ES" w:eastAsia="es-ES"/>
    </w:rPr>
  </w:style>
  <w:style w:type="paragraph" w:styleId="Textodeglobo">
    <w:name w:val="Balloon Text"/>
    <w:basedOn w:val="Normal"/>
    <w:link w:val="TextodegloboCar"/>
    <w:uiPriority w:val="99"/>
    <w:semiHidden/>
    <w:unhideWhenUsed/>
    <w:rsid w:val="001C0CE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C0CE7"/>
    <w:rPr>
      <w:rFonts w:ascii="Segoe UI" w:eastAsia="Times New Roman" w:hAnsi="Segoe UI" w:cs="Segoe UI"/>
      <w:sz w:val="18"/>
      <w:szCs w:val="18"/>
      <w:lang w:val="es-ES" w:eastAsia="es-ES"/>
    </w:rPr>
  </w:style>
  <w:style w:type="paragraph" w:styleId="NormalWeb">
    <w:name w:val="Normal (Web)"/>
    <w:basedOn w:val="Normal"/>
    <w:uiPriority w:val="99"/>
    <w:unhideWhenUsed/>
    <w:rsid w:val="001C0CE7"/>
    <w:pPr>
      <w:spacing w:before="100" w:beforeAutospacing="1" w:after="100" w:afterAutospacing="1"/>
    </w:pPr>
    <w:rPr>
      <w:rFonts w:ascii="Times New Roman" w:hAnsi="Times New Roman" w:cs="Times New Roman"/>
      <w:sz w:val="24"/>
      <w:szCs w:val="24"/>
      <w:lang w:val="es-CO" w:eastAsia="es-CO"/>
    </w:rPr>
  </w:style>
  <w:style w:type="paragraph" w:customStyle="1" w:styleId="Textoindependiente22">
    <w:name w:val="Texto independiente 22"/>
    <w:basedOn w:val="Normal"/>
    <w:rsid w:val="001C0CE7"/>
    <w:pPr>
      <w:spacing w:line="360" w:lineRule="auto"/>
      <w:jc w:val="both"/>
    </w:pPr>
    <w:rPr>
      <w:rFonts w:ascii="Times New Roman" w:hAnsi="Times New Roman" w:cs="Times New Roman"/>
      <w:szCs w:val="20"/>
      <w:lang w:val="es-ES_tradnl" w:eastAsia="es-CO"/>
    </w:rPr>
  </w:style>
  <w:style w:type="character" w:customStyle="1" w:styleId="baj">
    <w:name w:val="b_aj"/>
    <w:basedOn w:val="Fuentedeprrafopredeter"/>
    <w:rsid w:val="001C0CE7"/>
  </w:style>
  <w:style w:type="character" w:customStyle="1" w:styleId="apple-converted-space">
    <w:name w:val="apple-converted-space"/>
    <w:rsid w:val="00F938DF"/>
  </w:style>
  <w:style w:type="character" w:styleId="Hipervnculo">
    <w:name w:val="Hyperlink"/>
    <w:basedOn w:val="Fuentedeprrafopredeter"/>
    <w:uiPriority w:val="99"/>
    <w:semiHidden/>
    <w:unhideWhenUsed/>
    <w:rsid w:val="0035175D"/>
    <w:rPr>
      <w:color w:val="0000FF"/>
      <w:u w:val="single"/>
    </w:rPr>
  </w:style>
  <w:style w:type="paragraph" w:styleId="Textoindependiente2">
    <w:name w:val="Body Text 2"/>
    <w:basedOn w:val="Normal"/>
    <w:link w:val="Textoindependiente2Car"/>
    <w:uiPriority w:val="99"/>
    <w:semiHidden/>
    <w:unhideWhenUsed/>
    <w:rsid w:val="00627187"/>
    <w:pPr>
      <w:spacing w:after="120" w:line="480" w:lineRule="auto"/>
    </w:pPr>
  </w:style>
  <w:style w:type="character" w:customStyle="1" w:styleId="Textoindependiente2Car">
    <w:name w:val="Texto independiente 2 Car"/>
    <w:basedOn w:val="Fuentedeprrafopredeter"/>
    <w:link w:val="Textoindependiente2"/>
    <w:uiPriority w:val="99"/>
    <w:semiHidden/>
    <w:rsid w:val="00627187"/>
    <w:rPr>
      <w:rFonts w:ascii="Arial" w:eastAsia="Times New Roman" w:hAnsi="Arial" w:cs="Arial"/>
      <w:sz w:val="28"/>
      <w:szCs w:val="2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882040">
      <w:bodyDiv w:val="1"/>
      <w:marLeft w:val="0"/>
      <w:marRight w:val="0"/>
      <w:marTop w:val="0"/>
      <w:marBottom w:val="0"/>
      <w:divBdr>
        <w:top w:val="none" w:sz="0" w:space="0" w:color="auto"/>
        <w:left w:val="none" w:sz="0" w:space="0" w:color="auto"/>
        <w:bottom w:val="none" w:sz="0" w:space="0" w:color="auto"/>
        <w:right w:val="none" w:sz="0" w:space="0" w:color="auto"/>
      </w:divBdr>
    </w:div>
    <w:div w:id="215626730">
      <w:bodyDiv w:val="1"/>
      <w:marLeft w:val="0"/>
      <w:marRight w:val="0"/>
      <w:marTop w:val="0"/>
      <w:marBottom w:val="0"/>
      <w:divBdr>
        <w:top w:val="none" w:sz="0" w:space="0" w:color="auto"/>
        <w:left w:val="none" w:sz="0" w:space="0" w:color="auto"/>
        <w:bottom w:val="none" w:sz="0" w:space="0" w:color="auto"/>
        <w:right w:val="none" w:sz="0" w:space="0" w:color="auto"/>
      </w:divBdr>
    </w:div>
    <w:div w:id="695808783">
      <w:bodyDiv w:val="1"/>
      <w:marLeft w:val="0"/>
      <w:marRight w:val="0"/>
      <w:marTop w:val="0"/>
      <w:marBottom w:val="0"/>
      <w:divBdr>
        <w:top w:val="none" w:sz="0" w:space="0" w:color="auto"/>
        <w:left w:val="none" w:sz="0" w:space="0" w:color="auto"/>
        <w:bottom w:val="none" w:sz="0" w:space="0" w:color="auto"/>
        <w:right w:val="none" w:sz="0" w:space="0" w:color="auto"/>
      </w:divBdr>
    </w:div>
    <w:div w:id="894509012">
      <w:bodyDiv w:val="1"/>
      <w:marLeft w:val="0"/>
      <w:marRight w:val="0"/>
      <w:marTop w:val="0"/>
      <w:marBottom w:val="0"/>
      <w:divBdr>
        <w:top w:val="none" w:sz="0" w:space="0" w:color="auto"/>
        <w:left w:val="none" w:sz="0" w:space="0" w:color="auto"/>
        <w:bottom w:val="none" w:sz="0" w:space="0" w:color="auto"/>
        <w:right w:val="none" w:sz="0" w:space="0" w:color="auto"/>
      </w:divBdr>
    </w:div>
    <w:div w:id="987831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alcaldiabogota.gov.co/sisjur/normas/Norma1.jsp?i=1580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E19A7A-2EDF-45A0-8FDE-BD396E947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1939</TotalTime>
  <Pages>46</Pages>
  <Words>9996</Words>
  <Characters>54984</Characters>
  <Application>Microsoft Office Word</Application>
  <DocSecurity>0</DocSecurity>
  <Lines>458</Lines>
  <Paragraphs>129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Mauricio Garcia Cadena</dc:creator>
  <cp:lastModifiedBy>Miguel Orlando Bohorquez Rincon</cp:lastModifiedBy>
  <cp:revision>471</cp:revision>
  <cp:lastPrinted>2017-07-24T19:22:00Z</cp:lastPrinted>
  <dcterms:created xsi:type="dcterms:W3CDTF">2017-07-16T14:26:00Z</dcterms:created>
  <dcterms:modified xsi:type="dcterms:W3CDTF">2017-07-24T19:22:00Z</dcterms:modified>
</cp:coreProperties>
</file>