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C61" w:rsidRPr="009B08CC" w:rsidRDefault="00D02C61" w:rsidP="00D02C61">
      <w:pPr>
        <w:keepNext/>
        <w:autoSpaceDE w:val="0"/>
        <w:autoSpaceDN w:val="0"/>
        <w:spacing w:after="0" w:line="240" w:lineRule="auto"/>
        <w:jc w:val="both"/>
        <w:outlineLvl w:val="0"/>
        <w:rPr>
          <w:rFonts w:ascii="Georgia" w:eastAsia="Times New Roman" w:hAnsi="Georgia" w:cs="Arial"/>
          <w:bCs/>
          <w:lang w:eastAsia="es-ES"/>
        </w:rPr>
      </w:pPr>
      <w:bookmarkStart w:id="0" w:name="_GoBack"/>
      <w:bookmarkEnd w:id="0"/>
      <w:r w:rsidRPr="009B08CC">
        <w:rPr>
          <w:rFonts w:ascii="Georgia" w:eastAsia="Times New Roman" w:hAnsi="Georgia" w:cs="Arial"/>
          <w:b/>
          <w:lang w:eastAsia="es-ES"/>
        </w:rPr>
        <w:t>NULIDAD ABSOLUTA</w:t>
      </w:r>
      <w:r w:rsidRPr="009B08CC">
        <w:rPr>
          <w:rFonts w:ascii="Georgia" w:eastAsia="Times New Roman" w:hAnsi="Georgia" w:cs="Arial"/>
          <w:lang w:eastAsia="es-ES"/>
        </w:rPr>
        <w:t xml:space="preserve">- Frente a escritura pública por no reunir los documentos necesarios que soporten técnica y jurídicamente los actos suscritos, además de tener objeto y causa ilícita. Existencia de conciliación previa. </w:t>
      </w:r>
      <w:r w:rsidRPr="009B08CC">
        <w:rPr>
          <w:rFonts w:ascii="Georgia" w:eastAsia="Times New Roman" w:hAnsi="Georgia" w:cs="Arial"/>
          <w:bCs/>
          <w:lang w:eastAsia="es-ES"/>
        </w:rPr>
        <w:t>Resolución mediante la cual el IGAC actualiza área y los linderos de un predio transferido bajo la forma de cuerpo cierto.</w:t>
      </w:r>
      <w:r>
        <w:rPr>
          <w:rFonts w:ascii="Georgia" w:eastAsia="Times New Roman" w:hAnsi="Georgia" w:cs="Arial"/>
          <w:bCs/>
          <w:lang w:eastAsia="es-ES"/>
        </w:rPr>
        <w:t xml:space="preserve">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eastAsia="Times New Roman" w:hAnsi="Georgia" w:cs="Arial"/>
          <w:b/>
          <w:lang w:eastAsia="es-ES"/>
        </w:rPr>
        <w:instrText>NULIDAD ABSOLUTA</w:instrText>
      </w:r>
      <w:r w:rsidRPr="00175672">
        <w:rPr>
          <w:rFonts w:ascii="Georgia" w:eastAsia="Times New Roman" w:hAnsi="Georgia" w:cs="Arial"/>
          <w:lang w:eastAsia="es-ES"/>
        </w:rPr>
        <w:instrText xml:space="preserve">- Frente a escritura pública por no reunir los documentos necesarios que soporten técnica y jurídicamente los actos suscritos, además de tener objeto y causa ilícita. Existencia de conciliación previa. </w:instrText>
      </w:r>
      <w:r w:rsidRPr="00175672">
        <w:rPr>
          <w:rFonts w:ascii="Georgia" w:eastAsia="Times New Roman" w:hAnsi="Georgia" w:cs="Arial"/>
          <w:bCs/>
          <w:lang w:eastAsia="es-ES"/>
        </w:rPr>
        <w:instrText xml:space="preserve">Resolución mediante la cual el IGAC actualiza área y los linderos de un predio transferido bajo la forma de cuerpo cierto. </w:instrText>
      </w:r>
      <w:r w:rsidRPr="00175672">
        <w:rPr>
          <w:rFonts w:ascii="Georgia" w:hAnsi="Georgia" w:cs="Arial"/>
        </w:rPr>
        <w:instrText>(SC17154-2015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keepNext/>
        <w:autoSpaceDE w:val="0"/>
        <w:autoSpaceDN w:val="0"/>
        <w:spacing w:after="0" w:line="240" w:lineRule="auto"/>
        <w:jc w:val="both"/>
        <w:outlineLvl w:val="0"/>
        <w:rPr>
          <w:rFonts w:ascii="Georgia" w:eastAsia="Times New Roman" w:hAnsi="Georgia" w:cs="Arial"/>
          <w:bCs/>
          <w:lang w:eastAsia="es-ES"/>
        </w:rPr>
      </w:pPr>
    </w:p>
    <w:p w:rsidR="00D02C61" w:rsidRPr="009B08CC" w:rsidRDefault="00D02C61" w:rsidP="00D02C61">
      <w:pPr>
        <w:keepNext/>
        <w:autoSpaceDE w:val="0"/>
        <w:autoSpaceDN w:val="0"/>
        <w:spacing w:after="0" w:line="240" w:lineRule="auto"/>
        <w:jc w:val="both"/>
        <w:outlineLvl w:val="0"/>
        <w:rPr>
          <w:rFonts w:ascii="Georgia" w:eastAsia="Times New Roman" w:hAnsi="Georgia" w:cs="Arial"/>
          <w:b/>
          <w:lang w:eastAsia="es-ES"/>
        </w:rPr>
      </w:pPr>
      <w:r w:rsidRPr="009B08CC">
        <w:rPr>
          <w:rFonts w:ascii="Georgia" w:eastAsia="Times New Roman" w:hAnsi="Georgia" w:cs="Arial"/>
          <w:b/>
          <w:lang w:eastAsia="es-ES"/>
        </w:rPr>
        <w:t>Fuente formal</w:t>
      </w:r>
      <w:r>
        <w:rPr>
          <w:rFonts w:ascii="Georgia" w:eastAsia="Times New Roman" w:hAnsi="Georgia" w:cs="Arial"/>
          <w:b/>
          <w:lang w:eastAsia="es-ES"/>
        </w:rPr>
        <w:t>:</w:t>
      </w:r>
    </w:p>
    <w:p w:rsidR="00D02C61" w:rsidRPr="009B08CC" w:rsidRDefault="00D02C61" w:rsidP="00D02C61">
      <w:pPr>
        <w:keepNext/>
        <w:autoSpaceDE w:val="0"/>
        <w:autoSpaceDN w:val="0"/>
        <w:spacing w:after="0" w:line="240" w:lineRule="auto"/>
        <w:jc w:val="both"/>
        <w:outlineLvl w:val="0"/>
        <w:rPr>
          <w:rFonts w:ascii="Georgia" w:eastAsia="Times New Roman" w:hAnsi="Georgia" w:cs="Arial"/>
          <w:lang w:eastAsia="es-ES"/>
        </w:rPr>
      </w:pPr>
      <w:r w:rsidRPr="009B08CC">
        <w:rPr>
          <w:rFonts w:ascii="Georgia" w:eastAsia="Times New Roman" w:hAnsi="Georgia" w:cs="Arial"/>
          <w:lang w:eastAsia="es-ES"/>
        </w:rPr>
        <w:t xml:space="preserve">Artículos 1519 a 1521, 1524,  1740, 1741 Código </w:t>
      </w:r>
      <w:r>
        <w:rPr>
          <w:rFonts w:ascii="Georgia" w:eastAsia="Times New Roman" w:hAnsi="Georgia" w:cs="Arial"/>
          <w:lang w:eastAsia="es-ES"/>
        </w:rPr>
        <w:t>C</w:t>
      </w:r>
      <w:r w:rsidRPr="009B08CC">
        <w:rPr>
          <w:rFonts w:ascii="Georgia" w:eastAsia="Times New Roman" w:hAnsi="Georgia" w:cs="Arial"/>
          <w:lang w:eastAsia="es-ES"/>
        </w:rPr>
        <w:t>ivil</w:t>
      </w:r>
      <w:r>
        <w:rPr>
          <w:rFonts w:ascii="Georgia" w:eastAsia="Times New Roman" w:hAnsi="Georgia" w:cs="Arial"/>
          <w:lang w:eastAsia="es-ES"/>
        </w:rPr>
        <w:t>.</w:t>
      </w:r>
      <w:r w:rsidRPr="009B08CC">
        <w:rPr>
          <w:rFonts w:ascii="Georgia" w:eastAsia="Times New Roman" w:hAnsi="Georgia" w:cs="Arial"/>
          <w:lang w:eastAsia="es-ES"/>
        </w:rPr>
        <w:t xml:space="preserve"> </w:t>
      </w:r>
    </w:p>
    <w:p w:rsidR="00D02C61" w:rsidRPr="009B08CC" w:rsidRDefault="00D02C61" w:rsidP="00D02C61">
      <w:pPr>
        <w:keepNext/>
        <w:autoSpaceDE w:val="0"/>
        <w:autoSpaceDN w:val="0"/>
        <w:spacing w:after="0" w:line="240" w:lineRule="auto"/>
        <w:jc w:val="both"/>
        <w:outlineLvl w:val="0"/>
        <w:rPr>
          <w:rFonts w:ascii="Georgia" w:eastAsia="Times New Roman" w:hAnsi="Georgia" w:cs="Arial"/>
          <w:lang w:eastAsia="es-ES"/>
        </w:rPr>
      </w:pPr>
      <w:r w:rsidRPr="009B08CC">
        <w:rPr>
          <w:rFonts w:ascii="Georgia" w:eastAsia="Times New Roman" w:hAnsi="Georgia" w:cs="Arial"/>
          <w:lang w:eastAsia="es-ES"/>
        </w:rPr>
        <w:t>Artículo 99 decreto 960 de 1970</w:t>
      </w:r>
      <w:r>
        <w:rPr>
          <w:rFonts w:ascii="Georgia" w:eastAsia="Times New Roman" w:hAnsi="Georgia" w:cs="Arial"/>
          <w:lang w:eastAsia="es-ES"/>
        </w:rPr>
        <w:t>.</w:t>
      </w:r>
    </w:p>
    <w:p w:rsidR="00D02C61" w:rsidRPr="009B08CC" w:rsidRDefault="00D02C61" w:rsidP="00D02C61">
      <w:pPr>
        <w:keepNext/>
        <w:autoSpaceDE w:val="0"/>
        <w:autoSpaceDN w:val="0"/>
        <w:spacing w:after="0" w:line="240" w:lineRule="auto"/>
        <w:jc w:val="both"/>
        <w:outlineLvl w:val="0"/>
        <w:rPr>
          <w:rFonts w:ascii="Georgia" w:eastAsia="Times New Roman" w:hAnsi="Georgia" w:cs="Arial"/>
          <w:lang w:eastAsia="es-ES"/>
        </w:rPr>
      </w:pPr>
      <w:r w:rsidRPr="009B08CC">
        <w:rPr>
          <w:rFonts w:ascii="Georgia" w:eastAsia="Times New Roman" w:hAnsi="Georgia" w:cs="Arial"/>
          <w:lang w:eastAsia="es-ES"/>
        </w:rPr>
        <w:t>Artículo 35 decreto 2163 de 1970</w:t>
      </w:r>
      <w:r>
        <w:rPr>
          <w:rFonts w:ascii="Georgia" w:eastAsia="Times New Roman" w:hAnsi="Georgia" w:cs="Arial"/>
          <w:lang w:eastAsia="es-ES"/>
        </w:rPr>
        <w:t>.</w:t>
      </w:r>
    </w:p>
    <w:p w:rsidR="00D02C61" w:rsidRPr="009B08CC" w:rsidRDefault="00D02C61" w:rsidP="00D02C61">
      <w:pPr>
        <w:keepNext/>
        <w:autoSpaceDE w:val="0"/>
        <w:autoSpaceDN w:val="0"/>
        <w:spacing w:after="0" w:line="240" w:lineRule="auto"/>
        <w:jc w:val="both"/>
        <w:outlineLvl w:val="0"/>
        <w:rPr>
          <w:rFonts w:ascii="Georgia" w:eastAsia="Times New Roman" w:hAnsi="Georgia" w:cs="Arial"/>
          <w:lang w:eastAsia="es-ES"/>
        </w:rPr>
      </w:pPr>
    </w:p>
    <w:p w:rsidR="00D02C61" w:rsidRPr="009B08CC" w:rsidRDefault="00D02C61" w:rsidP="00D02C61">
      <w:pPr>
        <w:keepNext/>
        <w:autoSpaceDE w:val="0"/>
        <w:autoSpaceDN w:val="0"/>
        <w:spacing w:after="0" w:line="240" w:lineRule="auto"/>
        <w:jc w:val="both"/>
        <w:outlineLvl w:val="0"/>
        <w:rPr>
          <w:rFonts w:ascii="Georgia" w:eastAsia="Times New Roman" w:hAnsi="Georgia" w:cs="Arial"/>
          <w:b/>
          <w:lang w:eastAsia="es-ES"/>
        </w:rPr>
      </w:pPr>
      <w:r w:rsidRPr="009B08CC">
        <w:rPr>
          <w:rFonts w:ascii="Georgia" w:eastAsia="Times New Roman" w:hAnsi="Georgia" w:cs="Arial"/>
          <w:b/>
          <w:lang w:eastAsia="es-ES"/>
        </w:rPr>
        <w:t>Fuente jurisprudencial</w:t>
      </w:r>
      <w:r>
        <w:rPr>
          <w:rFonts w:ascii="Georgia" w:eastAsia="Times New Roman" w:hAnsi="Georgia" w:cs="Arial"/>
          <w:b/>
          <w:lang w:eastAsia="es-ES"/>
        </w:rPr>
        <w:t>:</w:t>
      </w:r>
    </w:p>
    <w:p w:rsidR="00D02C61" w:rsidRPr="009B08CC" w:rsidRDefault="00D02C61" w:rsidP="00D02C61">
      <w:pPr>
        <w:keepNext/>
        <w:autoSpaceDE w:val="0"/>
        <w:autoSpaceDN w:val="0"/>
        <w:spacing w:after="0" w:line="240" w:lineRule="auto"/>
        <w:jc w:val="both"/>
        <w:outlineLvl w:val="0"/>
        <w:rPr>
          <w:rFonts w:ascii="Georgia" w:eastAsia="Times New Roman" w:hAnsi="Georgia" w:cs="Arial"/>
          <w:lang w:eastAsia="es-ES"/>
        </w:rPr>
      </w:pPr>
      <w:r w:rsidRPr="009B08CC">
        <w:rPr>
          <w:rFonts w:ascii="Georgia" w:eastAsia="Times New Roman" w:hAnsi="Georgia" w:cs="Arial"/>
          <w:lang w:eastAsia="es-ES"/>
        </w:rPr>
        <w:t>Sentencia de 31 de enero de 1995, expediente 4293</w:t>
      </w:r>
      <w:r>
        <w:rPr>
          <w:rFonts w:ascii="Georgia" w:eastAsia="Times New Roman" w:hAnsi="Georgia" w:cs="Arial"/>
          <w:lang w:eastAsia="es-ES"/>
        </w:rPr>
        <w:t>.</w:t>
      </w:r>
    </w:p>
    <w:p w:rsidR="00D02C61" w:rsidRPr="009B08CC" w:rsidRDefault="00D02C61" w:rsidP="00D02C61">
      <w:pPr>
        <w:spacing w:after="0" w:line="240" w:lineRule="auto"/>
        <w:jc w:val="both"/>
        <w:rPr>
          <w:rFonts w:ascii="Georgia" w:hAnsi="Georgia" w:cs="Arial"/>
        </w:rPr>
      </w:pP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b/>
          <w:lang w:eastAsia="es-ES"/>
        </w:rPr>
        <w:t>ESCRITURA PÚBLICA</w:t>
      </w:r>
      <w:r w:rsidRPr="009B08CC">
        <w:rPr>
          <w:rFonts w:ascii="Georgia" w:eastAsia="Times New Roman" w:hAnsi="Georgia" w:cs="Arial"/>
          <w:lang w:eastAsia="es-ES"/>
        </w:rPr>
        <w:t xml:space="preserve">-De actos que incorporan actualización de áreas de bien inmueble y de ratificación de medidas. Diferencia de la pretensión de nulidad formal de los instrumentos públicos según el Decreto 960 de 1970 y la nulidad absoluta sustancial de contrato por falta de requisitos para el valor del mismo que </w:t>
      </w:r>
      <w:r>
        <w:rPr>
          <w:rFonts w:ascii="Georgia" w:eastAsia="Times New Roman" w:hAnsi="Georgia" w:cs="Arial"/>
          <w:lang w:eastAsia="es-ES"/>
        </w:rPr>
        <w:t>establece el artículo 1740 del C</w:t>
      </w:r>
      <w:r w:rsidRPr="009B08CC">
        <w:rPr>
          <w:rFonts w:ascii="Georgia" w:eastAsia="Times New Roman" w:hAnsi="Georgia" w:cs="Arial"/>
          <w:lang w:eastAsia="es-ES"/>
        </w:rPr>
        <w:t xml:space="preserve">ódigo </w:t>
      </w:r>
      <w:r>
        <w:rPr>
          <w:rFonts w:ascii="Georgia" w:eastAsia="Times New Roman" w:hAnsi="Georgia" w:cs="Arial"/>
          <w:lang w:eastAsia="es-ES"/>
        </w:rPr>
        <w:t>C</w:t>
      </w:r>
      <w:r w:rsidRPr="009B08CC">
        <w:rPr>
          <w:rFonts w:ascii="Georgia" w:eastAsia="Times New Roman" w:hAnsi="Georgia" w:cs="Arial"/>
          <w:lang w:eastAsia="es-ES"/>
        </w:rPr>
        <w:t>ivil.</w:t>
      </w:r>
      <w:r>
        <w:rPr>
          <w:rFonts w:ascii="Georgia" w:eastAsia="Times New Roman" w:hAnsi="Georgia" w:cs="Arial"/>
          <w:lang w:eastAsia="es-ES"/>
        </w:rPr>
        <w:t xml:space="preserve">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eastAsia="Times New Roman" w:hAnsi="Georgia" w:cs="Arial"/>
          <w:b/>
          <w:lang w:eastAsia="es-ES"/>
        </w:rPr>
        <w:instrText>ESCRITURA PÚBLICA</w:instrText>
      </w:r>
      <w:r w:rsidRPr="00175672">
        <w:rPr>
          <w:rFonts w:ascii="Georgia" w:eastAsia="Times New Roman" w:hAnsi="Georgia" w:cs="Arial"/>
          <w:lang w:eastAsia="es-ES"/>
        </w:rPr>
        <w:instrText xml:space="preserve">-De actos que incorporan actualización de áreas de bien inmueble y de ratificación de medidas. Diferencia de la pretensión de nulidad formal de los instrumentos públicos según el Decreto 960 de 1970 y la nulidad absoluta sustancial de contrato por falta de requisitos para el valor del mismo que establece el artículo 1740 del Código Civil. </w:instrText>
      </w:r>
      <w:r w:rsidRPr="00175672">
        <w:rPr>
          <w:rFonts w:ascii="Georgia" w:hAnsi="Georgia" w:cs="Arial"/>
        </w:rPr>
        <w:instrText>(SC17154-2015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r w:rsidRPr="009B08CC">
        <w:rPr>
          <w:rFonts w:ascii="Georgia" w:eastAsia="Times New Roman" w:hAnsi="Georgia" w:cs="Arial"/>
          <w:lang w:eastAsia="es-ES"/>
        </w:rPr>
        <w:t xml:space="preserve"> </w:t>
      </w:r>
    </w:p>
    <w:p w:rsidR="00D02C61" w:rsidRPr="009B08CC" w:rsidRDefault="00D02C61" w:rsidP="00D02C61">
      <w:pPr>
        <w:spacing w:after="0" w:line="240" w:lineRule="auto"/>
        <w:jc w:val="both"/>
        <w:rPr>
          <w:rFonts w:ascii="Georgia" w:eastAsia="Times New Roman" w:hAnsi="Georgia" w:cs="Arial"/>
          <w:lang w:eastAsia="es-ES"/>
        </w:rPr>
      </w:pPr>
    </w:p>
    <w:p w:rsidR="00D02C61" w:rsidRPr="009B08CC" w:rsidRDefault="00D02C61" w:rsidP="00D02C61">
      <w:pPr>
        <w:spacing w:after="0" w:line="240" w:lineRule="auto"/>
        <w:jc w:val="both"/>
        <w:rPr>
          <w:rFonts w:ascii="Georgia" w:eastAsia="Times New Roman" w:hAnsi="Georgia" w:cs="Arial"/>
          <w:b/>
          <w:lang w:eastAsia="es-ES"/>
        </w:rPr>
      </w:pPr>
      <w:r w:rsidRPr="009B08CC">
        <w:rPr>
          <w:rFonts w:ascii="Georgia" w:eastAsia="Times New Roman" w:hAnsi="Georgia" w:cs="Arial"/>
          <w:b/>
          <w:lang w:eastAsia="es-ES"/>
        </w:rPr>
        <w:t>Fuente formal</w:t>
      </w:r>
      <w:r>
        <w:rPr>
          <w:rFonts w:ascii="Georgia" w:eastAsia="Times New Roman" w:hAnsi="Georgia" w:cs="Arial"/>
          <w:b/>
          <w:lang w:eastAsia="es-ES"/>
        </w:rPr>
        <w:t>:</w:t>
      </w:r>
    </w:p>
    <w:p w:rsidR="00D02C61" w:rsidRPr="009B08CC" w:rsidRDefault="00D02C61" w:rsidP="00D02C61">
      <w:pPr>
        <w:spacing w:after="0" w:line="240" w:lineRule="auto"/>
        <w:jc w:val="both"/>
        <w:rPr>
          <w:rFonts w:ascii="Georgia" w:eastAsia="Times New Roman" w:hAnsi="Georgia" w:cs="Arial"/>
          <w:lang w:eastAsia="es-ES"/>
        </w:rPr>
      </w:pPr>
      <w:r>
        <w:rPr>
          <w:rFonts w:ascii="Georgia" w:eastAsia="Times New Roman" w:hAnsi="Georgia" w:cs="Arial"/>
          <w:lang w:eastAsia="es-ES"/>
        </w:rPr>
        <w:t>Artículo 99, 102 y 103 D</w:t>
      </w:r>
      <w:r w:rsidRPr="009B08CC">
        <w:rPr>
          <w:rFonts w:ascii="Georgia" w:eastAsia="Times New Roman" w:hAnsi="Georgia" w:cs="Arial"/>
          <w:lang w:eastAsia="es-ES"/>
        </w:rPr>
        <w:t>ecreto 960 de 1970</w:t>
      </w:r>
      <w:r>
        <w:rPr>
          <w:rFonts w:ascii="Georgia" w:eastAsia="Times New Roman" w:hAnsi="Georgia" w:cs="Arial"/>
          <w:lang w:eastAsia="es-ES"/>
        </w:rPr>
        <w:t>.</w:t>
      </w: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lang w:eastAsia="es-ES"/>
        </w:rPr>
        <w:t>Artículo 49 decreto 2148 de 1983</w:t>
      </w:r>
      <w:r>
        <w:rPr>
          <w:rFonts w:ascii="Georgia" w:eastAsia="Times New Roman" w:hAnsi="Georgia" w:cs="Arial"/>
          <w:lang w:eastAsia="es-ES"/>
        </w:rPr>
        <w:t>.</w:t>
      </w: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lang w:eastAsia="es-ES"/>
        </w:rPr>
        <w:t>Circular 03 del 16 de mayo de 2007 Superintendencia de notariado y registro</w:t>
      </w:r>
      <w:r>
        <w:rPr>
          <w:rFonts w:ascii="Georgia" w:eastAsia="Times New Roman" w:hAnsi="Georgia" w:cs="Arial"/>
          <w:lang w:eastAsia="es-ES"/>
        </w:rPr>
        <w:t>.</w:t>
      </w: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lang w:eastAsia="es-ES"/>
        </w:rPr>
        <w:t>Circular conjunta del IGAG y Superintendencia de Notariado y Registro de 20 de mayo de 2010</w:t>
      </w:r>
      <w:r>
        <w:rPr>
          <w:rFonts w:ascii="Georgia" w:eastAsia="Times New Roman" w:hAnsi="Georgia" w:cs="Arial"/>
          <w:lang w:eastAsia="es-ES"/>
        </w:rPr>
        <w:t>.</w:t>
      </w: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lang w:eastAsia="es-ES"/>
        </w:rPr>
        <w:t xml:space="preserve">Artículos 826, 1457, 1741, 1760, 2292, 2434 </w:t>
      </w:r>
      <w:r>
        <w:rPr>
          <w:rFonts w:ascii="Georgia" w:eastAsia="Times New Roman" w:hAnsi="Georgia" w:cs="Arial"/>
          <w:lang w:eastAsia="es-ES"/>
        </w:rPr>
        <w:t>C</w:t>
      </w:r>
      <w:r w:rsidRPr="009B08CC">
        <w:rPr>
          <w:rFonts w:ascii="Georgia" w:eastAsia="Times New Roman" w:hAnsi="Georgia" w:cs="Arial"/>
          <w:lang w:eastAsia="es-ES"/>
        </w:rPr>
        <w:t xml:space="preserve">ódigo </w:t>
      </w:r>
      <w:r>
        <w:rPr>
          <w:rFonts w:ascii="Georgia" w:eastAsia="Times New Roman" w:hAnsi="Georgia" w:cs="Arial"/>
          <w:lang w:eastAsia="es-ES"/>
        </w:rPr>
        <w:t>C</w:t>
      </w:r>
      <w:r w:rsidRPr="009B08CC">
        <w:rPr>
          <w:rFonts w:ascii="Georgia" w:eastAsia="Times New Roman" w:hAnsi="Georgia" w:cs="Arial"/>
          <w:lang w:eastAsia="es-ES"/>
        </w:rPr>
        <w:t>ivil</w:t>
      </w:r>
      <w:r>
        <w:rPr>
          <w:rFonts w:ascii="Georgia" w:eastAsia="Times New Roman" w:hAnsi="Georgia" w:cs="Arial"/>
          <w:lang w:eastAsia="es-ES"/>
        </w:rPr>
        <w:t>.</w:t>
      </w: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lang w:eastAsia="es-ES"/>
        </w:rPr>
        <w:t>Artículo 89 Ley 153 de 1887</w:t>
      </w:r>
      <w:r>
        <w:rPr>
          <w:rFonts w:ascii="Georgia" w:eastAsia="Times New Roman" w:hAnsi="Georgia" w:cs="Arial"/>
          <w:lang w:eastAsia="es-ES"/>
        </w:rPr>
        <w:t>.</w:t>
      </w: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lang w:eastAsia="es-ES"/>
        </w:rPr>
        <w:t>Artículos 52 y 82 Decreto-Ley 1250 de 1970</w:t>
      </w:r>
      <w:r>
        <w:rPr>
          <w:rFonts w:ascii="Georgia" w:eastAsia="Times New Roman" w:hAnsi="Georgia" w:cs="Arial"/>
          <w:lang w:eastAsia="es-ES"/>
        </w:rPr>
        <w:t>.</w:t>
      </w: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lang w:eastAsia="es-ES"/>
        </w:rPr>
        <w:t>Artículo 5º Decreto 1711 de 1984</w:t>
      </w:r>
      <w:r>
        <w:rPr>
          <w:rFonts w:ascii="Georgia" w:eastAsia="Times New Roman" w:hAnsi="Georgia" w:cs="Arial"/>
          <w:lang w:eastAsia="es-ES"/>
        </w:rPr>
        <w:t>.</w:t>
      </w:r>
    </w:p>
    <w:p w:rsidR="00D02C61" w:rsidRPr="009B08CC" w:rsidRDefault="00D02C61" w:rsidP="00D02C61">
      <w:pPr>
        <w:spacing w:after="0" w:line="240" w:lineRule="auto"/>
        <w:jc w:val="both"/>
        <w:rPr>
          <w:rFonts w:ascii="Georgia" w:eastAsia="Times New Roman" w:hAnsi="Georgia" w:cs="Arial"/>
          <w:lang w:eastAsia="es-ES"/>
        </w:rPr>
      </w:pPr>
    </w:p>
    <w:p w:rsidR="00D02C61" w:rsidRPr="009B08CC" w:rsidRDefault="00D02C61" w:rsidP="00D02C61">
      <w:pPr>
        <w:spacing w:after="0" w:line="240" w:lineRule="auto"/>
        <w:jc w:val="both"/>
        <w:rPr>
          <w:rFonts w:ascii="Georgia" w:eastAsia="Times New Roman" w:hAnsi="Georgia" w:cs="Arial"/>
          <w:b/>
          <w:lang w:eastAsia="es-ES"/>
        </w:rPr>
      </w:pPr>
      <w:r w:rsidRPr="009B08CC">
        <w:rPr>
          <w:rFonts w:ascii="Georgia" w:eastAsia="Times New Roman" w:hAnsi="Georgia" w:cs="Arial"/>
          <w:b/>
          <w:lang w:eastAsia="es-ES"/>
        </w:rPr>
        <w:t>Fuente Jurisprudencial</w:t>
      </w:r>
      <w:r>
        <w:rPr>
          <w:rFonts w:ascii="Georgia" w:eastAsia="Times New Roman" w:hAnsi="Georgia" w:cs="Arial"/>
          <w:b/>
          <w:lang w:eastAsia="es-ES"/>
        </w:rPr>
        <w:t>:</w:t>
      </w:r>
    </w:p>
    <w:p w:rsidR="00D02C61" w:rsidRPr="009B08CC" w:rsidRDefault="00D02C61" w:rsidP="00D02C61">
      <w:pPr>
        <w:spacing w:after="0" w:line="240" w:lineRule="auto"/>
        <w:jc w:val="both"/>
        <w:rPr>
          <w:rFonts w:ascii="Georgia" w:eastAsia="Times New Roman" w:hAnsi="Georgia" w:cs="Arial"/>
          <w:lang w:eastAsia="es-ES"/>
        </w:rPr>
      </w:pPr>
      <w:r w:rsidRPr="009B08CC">
        <w:rPr>
          <w:rFonts w:ascii="Georgia" w:eastAsia="Times New Roman" w:hAnsi="Georgia" w:cs="Arial"/>
          <w:lang w:eastAsia="es-ES"/>
        </w:rPr>
        <w:t xml:space="preserve">Sentencia de 30 de noviembre de 1998 expediente 4826.  </w:t>
      </w:r>
    </w:p>
    <w:p w:rsidR="00D02C61" w:rsidRDefault="00D02C61" w:rsidP="00D02C61">
      <w:pPr>
        <w:autoSpaceDE w:val="0"/>
        <w:autoSpaceDN w:val="0"/>
        <w:spacing w:after="0" w:line="240" w:lineRule="auto"/>
        <w:jc w:val="both"/>
        <w:rPr>
          <w:rFonts w:ascii="Georgia" w:eastAsia="Times New Roman" w:hAnsi="Georgia" w:cs="Arial"/>
          <w:b/>
          <w:lang w:eastAsia="es-ES"/>
        </w:rPr>
      </w:pPr>
    </w:p>
    <w:p w:rsidR="00D02C61" w:rsidRPr="009B08CC" w:rsidRDefault="00D02C61" w:rsidP="00D02C61">
      <w:pPr>
        <w:autoSpaceDE w:val="0"/>
        <w:autoSpaceDN w:val="0"/>
        <w:spacing w:after="0" w:line="240" w:lineRule="auto"/>
        <w:jc w:val="both"/>
        <w:rPr>
          <w:rFonts w:ascii="Georgia" w:eastAsia="Times New Roman" w:hAnsi="Georgia" w:cs="Arial"/>
          <w:lang w:eastAsia="es-ES"/>
        </w:rPr>
      </w:pPr>
      <w:r w:rsidRPr="009B08CC">
        <w:rPr>
          <w:rFonts w:ascii="Georgia" w:eastAsia="Times New Roman" w:hAnsi="Georgia" w:cs="Arial"/>
          <w:b/>
          <w:lang w:eastAsia="es-ES"/>
        </w:rPr>
        <w:t>NULIDAD SUSTANTIVA</w:t>
      </w:r>
      <w:r w:rsidRPr="009B08CC">
        <w:rPr>
          <w:rFonts w:ascii="Georgia" w:eastAsia="Times New Roman" w:hAnsi="Georgia" w:cs="Arial"/>
          <w:lang w:eastAsia="es-ES"/>
        </w:rPr>
        <w:t>-Criterios de su clasificación y características de la nulidad absoluta y relativa.</w:t>
      </w:r>
      <w:r>
        <w:rPr>
          <w:rFonts w:ascii="Georgia" w:eastAsia="Times New Roman" w:hAnsi="Georgia" w:cs="Arial"/>
          <w:lang w:eastAsia="es-ES"/>
        </w:rPr>
        <w:t xml:space="preserve">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eastAsia="Times New Roman" w:hAnsi="Georgia" w:cs="Arial"/>
          <w:b/>
          <w:lang w:eastAsia="es-ES"/>
        </w:rPr>
        <w:instrText>NULIDAD SUSTANTIVA</w:instrText>
      </w:r>
      <w:r w:rsidRPr="00175672">
        <w:rPr>
          <w:rFonts w:ascii="Georgia" w:eastAsia="Times New Roman" w:hAnsi="Georgia" w:cs="Arial"/>
          <w:lang w:eastAsia="es-ES"/>
        </w:rPr>
        <w:instrText xml:space="preserve">-Criterios de su clasificación y características de la nulidad absoluta y relativa. </w:instrText>
      </w:r>
      <w:r w:rsidRPr="00175672">
        <w:rPr>
          <w:rFonts w:ascii="Georgia" w:hAnsi="Georgia" w:cs="Arial"/>
        </w:rPr>
        <w:instrText>(SC17154-2015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autoSpaceDE w:val="0"/>
        <w:autoSpaceDN w:val="0"/>
        <w:spacing w:after="0" w:line="240" w:lineRule="auto"/>
        <w:jc w:val="both"/>
        <w:rPr>
          <w:rFonts w:ascii="Georgia" w:eastAsia="Times New Roman" w:hAnsi="Georgia" w:cs="Arial"/>
          <w:lang w:eastAsia="es-ES"/>
        </w:rPr>
      </w:pPr>
    </w:p>
    <w:p w:rsidR="00D02C61" w:rsidRPr="009B08CC" w:rsidRDefault="00D02C61" w:rsidP="00D02C61">
      <w:pPr>
        <w:autoSpaceDE w:val="0"/>
        <w:autoSpaceDN w:val="0"/>
        <w:spacing w:after="0" w:line="240" w:lineRule="auto"/>
        <w:jc w:val="both"/>
        <w:rPr>
          <w:rFonts w:ascii="Georgia" w:eastAsia="Times New Roman" w:hAnsi="Georgia" w:cs="Arial"/>
          <w:lang w:eastAsia="es-ES"/>
        </w:rPr>
      </w:pPr>
      <w:r w:rsidRPr="009B08CC">
        <w:rPr>
          <w:rFonts w:ascii="Georgia" w:eastAsia="Times New Roman" w:hAnsi="Georgia" w:cs="Arial"/>
          <w:b/>
          <w:lang w:eastAsia="es-ES"/>
        </w:rPr>
        <w:t>ESCRITURA PÚBLICA DE CORRECCIÓN</w:t>
      </w:r>
      <w:r w:rsidRPr="009B08CC">
        <w:rPr>
          <w:rFonts w:ascii="Georgia" w:eastAsia="Times New Roman" w:hAnsi="Georgia" w:cs="Arial"/>
          <w:lang w:eastAsia="es-ES"/>
        </w:rPr>
        <w:t>-Aplicación de los artículos 102 y 103 del Decreto 960 de 1970 y 49 del Decreto 2148 para solucionar errores simples o aritméticos, modificar medidas, linderos, o aspectos de fondo.</w:t>
      </w:r>
      <w:r>
        <w:rPr>
          <w:rFonts w:ascii="Georgia" w:eastAsia="Times New Roman" w:hAnsi="Georgia" w:cs="Arial"/>
          <w:lang w:eastAsia="es-ES"/>
        </w:rPr>
        <w:t xml:space="preserve">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eastAsia="Times New Roman" w:hAnsi="Georgia" w:cs="Arial"/>
          <w:b/>
          <w:lang w:eastAsia="es-ES"/>
        </w:rPr>
        <w:instrText>ESCRITURA PÚBLICA DE CORRECCIÓN</w:instrText>
      </w:r>
      <w:r w:rsidRPr="00175672">
        <w:rPr>
          <w:rFonts w:ascii="Georgia" w:eastAsia="Times New Roman" w:hAnsi="Georgia" w:cs="Arial"/>
          <w:lang w:eastAsia="es-ES"/>
        </w:rPr>
        <w:instrText xml:space="preserve">-Aplicación de los artículos 102 y 103 del Decreto 960 de 1970 y 49 del Decreto 2148 para solucionar errores simples o aritméticos, modificar medidas, linderos, o aspectos de fondo. </w:instrText>
      </w:r>
      <w:r w:rsidRPr="00175672">
        <w:rPr>
          <w:rFonts w:ascii="Georgia" w:hAnsi="Georgia" w:cs="Arial"/>
        </w:rPr>
        <w:instrText>(SC17154-2015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autoSpaceDE w:val="0"/>
        <w:autoSpaceDN w:val="0"/>
        <w:spacing w:after="0" w:line="240" w:lineRule="auto"/>
        <w:jc w:val="both"/>
        <w:rPr>
          <w:rFonts w:ascii="Georgia" w:eastAsia="Times New Roman" w:hAnsi="Georgia" w:cs="Arial"/>
          <w:lang w:eastAsia="es-ES"/>
        </w:rPr>
      </w:pPr>
    </w:p>
    <w:p w:rsidR="00D02C61" w:rsidRPr="009B08CC" w:rsidRDefault="00D02C61" w:rsidP="00D02C61">
      <w:pPr>
        <w:autoSpaceDE w:val="0"/>
        <w:autoSpaceDN w:val="0"/>
        <w:spacing w:after="0" w:line="240" w:lineRule="auto"/>
        <w:jc w:val="both"/>
        <w:rPr>
          <w:rFonts w:ascii="Georgia" w:eastAsia="Times New Roman" w:hAnsi="Georgia" w:cs="Arial"/>
          <w:lang w:val="es-CO" w:eastAsia="es-ES"/>
        </w:rPr>
      </w:pPr>
      <w:r w:rsidRPr="009B08CC">
        <w:rPr>
          <w:rFonts w:ascii="Georgia" w:eastAsia="Times New Roman" w:hAnsi="Georgia" w:cs="Arial"/>
          <w:b/>
          <w:lang w:eastAsia="es-ES"/>
        </w:rPr>
        <w:t>PROTOCOLIZACIÓN-</w:t>
      </w:r>
      <w:r w:rsidRPr="009B08CC">
        <w:rPr>
          <w:rFonts w:ascii="Georgia" w:eastAsia="Times New Roman" w:hAnsi="Georgia" w:cs="Arial"/>
          <w:lang w:eastAsia="es-ES"/>
        </w:rPr>
        <w:t>De</w:t>
      </w:r>
      <w:r w:rsidRPr="009B08CC">
        <w:rPr>
          <w:rFonts w:ascii="Georgia" w:eastAsia="Times New Roman" w:hAnsi="Georgia" w:cs="Arial"/>
          <w:b/>
          <w:lang w:eastAsia="es-ES"/>
        </w:rPr>
        <w:t xml:space="preserve"> </w:t>
      </w:r>
      <w:r w:rsidRPr="009B08CC">
        <w:rPr>
          <w:rFonts w:ascii="Georgia" w:eastAsia="Times New Roman" w:hAnsi="Georgia" w:cs="Arial"/>
          <w:lang w:val="es-CO" w:eastAsia="es-ES"/>
        </w:rPr>
        <w:t>la escritura pública de corrección junto con el acto administrativo de la oficina de Agustín Codazzi que haya realizado el trámite correspondiente cuando de actualización y/o modificación de medidas y linderos se trate.</w:t>
      </w:r>
      <w:r>
        <w:rPr>
          <w:rFonts w:ascii="Georgia" w:eastAsia="Times New Roman" w:hAnsi="Georgia" w:cs="Arial"/>
          <w:lang w:val="es-CO" w:eastAsia="es-ES"/>
        </w:rPr>
        <w:t xml:space="preserve">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eastAsia="Times New Roman" w:hAnsi="Georgia" w:cs="Arial"/>
          <w:b/>
          <w:lang w:eastAsia="es-ES"/>
        </w:rPr>
        <w:instrText>PROTOCOLIZACIÓN-</w:instrText>
      </w:r>
      <w:r w:rsidRPr="00175672">
        <w:rPr>
          <w:rFonts w:ascii="Georgia" w:eastAsia="Times New Roman" w:hAnsi="Georgia" w:cs="Arial"/>
          <w:lang w:eastAsia="es-ES"/>
        </w:rPr>
        <w:instrText>De</w:instrText>
      </w:r>
      <w:r w:rsidRPr="00175672">
        <w:rPr>
          <w:rFonts w:ascii="Georgia" w:eastAsia="Times New Roman" w:hAnsi="Georgia" w:cs="Arial"/>
          <w:b/>
          <w:lang w:eastAsia="es-ES"/>
        </w:rPr>
        <w:instrText xml:space="preserve"> </w:instrText>
      </w:r>
      <w:r w:rsidRPr="00175672">
        <w:rPr>
          <w:rFonts w:ascii="Georgia" w:eastAsia="Times New Roman" w:hAnsi="Georgia" w:cs="Arial"/>
          <w:lang w:val="es-CO" w:eastAsia="es-ES"/>
        </w:rPr>
        <w:instrText xml:space="preserve">la escritura pública de corrección junto con el acto administrativo de la oficina de Agustín Codazzi que haya realizado el trámite correspondiente cuando de actualización y/o modificación de medidas y linderos se trate. </w:instrText>
      </w:r>
      <w:r w:rsidRPr="00175672">
        <w:rPr>
          <w:rFonts w:ascii="Georgia" w:hAnsi="Georgia" w:cs="Arial"/>
        </w:rPr>
        <w:instrText>(SC17154-2015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autoSpaceDE w:val="0"/>
        <w:autoSpaceDN w:val="0"/>
        <w:spacing w:after="0" w:line="240" w:lineRule="auto"/>
        <w:jc w:val="both"/>
        <w:rPr>
          <w:rFonts w:ascii="Georgia" w:eastAsia="Times New Roman" w:hAnsi="Georgia" w:cs="Arial"/>
          <w:lang w:val="es-CO" w:eastAsia="es-ES"/>
        </w:rPr>
      </w:pP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lang w:eastAsia="es-ES"/>
        </w:rPr>
      </w:pPr>
      <w:r w:rsidRPr="009B08CC">
        <w:rPr>
          <w:rFonts w:ascii="Georgia" w:eastAsia="Times New Roman" w:hAnsi="Georgia" w:cs="Arial"/>
          <w:b/>
          <w:lang w:eastAsia="es-ES"/>
        </w:rPr>
        <w:t>ACTO ADMINISTRATIVO-</w:t>
      </w:r>
      <w:r w:rsidRPr="009B08CC">
        <w:rPr>
          <w:rFonts w:ascii="Georgia" w:eastAsia="Times New Roman" w:hAnsi="Georgia" w:cs="Arial"/>
          <w:lang w:eastAsia="es-ES"/>
        </w:rPr>
        <w:t>Competencia de la jurisdicción contencioso administrativo para ejercer el control de legalidad de</w:t>
      </w:r>
      <w:r w:rsidRPr="009B08CC">
        <w:rPr>
          <w:rFonts w:ascii="Georgia" w:eastAsia="Times New Roman" w:hAnsi="Georgia" w:cs="Arial"/>
          <w:b/>
          <w:lang w:eastAsia="es-ES"/>
        </w:rPr>
        <w:t xml:space="preserve"> </w:t>
      </w:r>
      <w:r w:rsidRPr="009B08CC">
        <w:rPr>
          <w:rFonts w:ascii="Georgia" w:eastAsia="Times New Roman" w:hAnsi="Georgia" w:cs="Arial"/>
          <w:lang w:eastAsia="es-ES"/>
        </w:rPr>
        <w:t>las</w:t>
      </w:r>
      <w:r w:rsidRPr="009B08CC">
        <w:rPr>
          <w:rFonts w:ascii="Georgia" w:eastAsia="Times New Roman" w:hAnsi="Georgia" w:cs="Arial"/>
          <w:b/>
          <w:lang w:eastAsia="es-ES"/>
        </w:rPr>
        <w:t xml:space="preserve"> </w:t>
      </w:r>
      <w:r w:rsidRPr="009B08CC">
        <w:rPr>
          <w:rFonts w:ascii="Georgia" w:eastAsia="Times New Roman" w:hAnsi="Georgia" w:cs="Arial"/>
          <w:lang w:eastAsia="es-ES"/>
        </w:rPr>
        <w:t>decisiones emanadas del Instituto Geográfico Agustín Codazzi y de la oficina de registro.</w:t>
      </w:r>
      <w:r w:rsidRPr="009B08CC">
        <w:rPr>
          <w:rFonts w:ascii="Georgia" w:eastAsia="Times New Roman" w:hAnsi="Georgia" w:cs="Arial"/>
          <w:b/>
          <w:lang w:eastAsia="es-ES"/>
        </w:rPr>
        <w:t xml:space="preserve"> </w:t>
      </w:r>
      <w:r w:rsidRPr="009B08CC">
        <w:rPr>
          <w:rFonts w:ascii="Georgia" w:eastAsia="Times New Roman" w:hAnsi="Georgia" w:cs="Arial"/>
          <w:lang w:eastAsia="es-ES"/>
        </w:rPr>
        <w:t>Debate de la</w:t>
      </w:r>
      <w:r w:rsidRPr="009B08CC">
        <w:rPr>
          <w:rFonts w:ascii="Georgia" w:eastAsia="Times New Roman" w:hAnsi="Georgia" w:cs="Arial"/>
          <w:b/>
          <w:lang w:eastAsia="es-ES"/>
        </w:rPr>
        <w:t xml:space="preserve"> </w:t>
      </w:r>
      <w:r w:rsidRPr="009B08CC">
        <w:rPr>
          <w:rFonts w:ascii="Georgia" w:eastAsia="Times New Roman" w:hAnsi="Georgia" w:cs="Arial"/>
          <w:lang w:eastAsia="es-ES"/>
        </w:rPr>
        <w:t>falsa manifestación de pretender corregir simples errores aritméticos para rectificar superficies de predios.</w:t>
      </w:r>
      <w:r>
        <w:rPr>
          <w:rFonts w:ascii="Georgia" w:eastAsia="Times New Roman" w:hAnsi="Georgia" w:cs="Arial"/>
          <w:lang w:eastAsia="es-ES"/>
        </w:rPr>
        <w:t xml:space="preserve">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eastAsia="Times New Roman" w:hAnsi="Georgia" w:cs="Arial"/>
          <w:b/>
          <w:lang w:eastAsia="es-ES"/>
        </w:rPr>
        <w:instrText>ACTO ADMINISTRATIVO-</w:instrText>
      </w:r>
      <w:r w:rsidRPr="00175672">
        <w:rPr>
          <w:rFonts w:ascii="Georgia" w:eastAsia="Times New Roman" w:hAnsi="Georgia" w:cs="Arial"/>
          <w:lang w:eastAsia="es-ES"/>
        </w:rPr>
        <w:instrText>Competencia de la jurisdicción contencioso administrativo para ejercer el control de legalidad de</w:instrText>
      </w:r>
      <w:r w:rsidRPr="00175672">
        <w:rPr>
          <w:rFonts w:ascii="Georgia" w:eastAsia="Times New Roman" w:hAnsi="Georgia" w:cs="Arial"/>
          <w:b/>
          <w:lang w:eastAsia="es-ES"/>
        </w:rPr>
        <w:instrText xml:space="preserve"> </w:instrText>
      </w:r>
      <w:r w:rsidRPr="00175672">
        <w:rPr>
          <w:rFonts w:ascii="Georgia" w:eastAsia="Times New Roman" w:hAnsi="Georgia" w:cs="Arial"/>
          <w:lang w:eastAsia="es-ES"/>
        </w:rPr>
        <w:instrText>las</w:instrText>
      </w:r>
      <w:r w:rsidRPr="00175672">
        <w:rPr>
          <w:rFonts w:ascii="Georgia" w:eastAsia="Times New Roman" w:hAnsi="Georgia" w:cs="Arial"/>
          <w:b/>
          <w:lang w:eastAsia="es-ES"/>
        </w:rPr>
        <w:instrText xml:space="preserve"> </w:instrText>
      </w:r>
      <w:r w:rsidRPr="00175672">
        <w:rPr>
          <w:rFonts w:ascii="Georgia" w:eastAsia="Times New Roman" w:hAnsi="Georgia" w:cs="Arial"/>
          <w:lang w:eastAsia="es-ES"/>
        </w:rPr>
        <w:instrText>decisiones emanadas del Instituto Geográfico Agustín Codazzi y de la oficina de registro.</w:instrText>
      </w:r>
      <w:r w:rsidRPr="00175672">
        <w:rPr>
          <w:rFonts w:ascii="Georgia" w:eastAsia="Times New Roman" w:hAnsi="Georgia" w:cs="Arial"/>
          <w:b/>
          <w:lang w:eastAsia="es-ES"/>
        </w:rPr>
        <w:instrText xml:space="preserve"> </w:instrText>
      </w:r>
      <w:r w:rsidRPr="00175672">
        <w:rPr>
          <w:rFonts w:ascii="Georgia" w:eastAsia="Times New Roman" w:hAnsi="Georgia" w:cs="Arial"/>
          <w:lang w:eastAsia="es-ES"/>
        </w:rPr>
        <w:instrText>Debate de la</w:instrText>
      </w:r>
      <w:r w:rsidRPr="00175672">
        <w:rPr>
          <w:rFonts w:ascii="Georgia" w:eastAsia="Times New Roman" w:hAnsi="Georgia" w:cs="Arial"/>
          <w:b/>
          <w:lang w:eastAsia="es-ES"/>
        </w:rPr>
        <w:instrText xml:space="preserve"> </w:instrText>
      </w:r>
      <w:r w:rsidRPr="00175672">
        <w:rPr>
          <w:rFonts w:ascii="Georgia" w:eastAsia="Times New Roman" w:hAnsi="Georgia" w:cs="Arial"/>
          <w:lang w:eastAsia="es-ES"/>
        </w:rPr>
        <w:instrText xml:space="preserve">falsa manifestación de pretender corregir simples errores aritméticos para rectificar superficies de predios. </w:instrText>
      </w:r>
      <w:r w:rsidRPr="00175672">
        <w:rPr>
          <w:rFonts w:ascii="Georgia" w:hAnsi="Georgia" w:cs="Arial"/>
        </w:rPr>
        <w:instrText>(SC17154-2015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lang w:eastAsia="es-ES"/>
        </w:rPr>
      </w:pPr>
    </w:p>
    <w:p w:rsidR="00D02C61" w:rsidRPr="009B08CC" w:rsidRDefault="00D02C61" w:rsidP="00D02C61">
      <w:pPr>
        <w:autoSpaceDE w:val="0"/>
        <w:autoSpaceDN w:val="0"/>
        <w:spacing w:after="0" w:line="240" w:lineRule="auto"/>
        <w:jc w:val="both"/>
        <w:rPr>
          <w:rFonts w:ascii="Georgia" w:eastAsia="Times New Roman" w:hAnsi="Georgia" w:cs="Arial"/>
          <w:lang w:eastAsia="es-ES"/>
        </w:rPr>
      </w:pPr>
      <w:r w:rsidRPr="009B08CC">
        <w:rPr>
          <w:rFonts w:ascii="Georgia" w:eastAsia="Times New Roman" w:hAnsi="Georgia" w:cs="Arial"/>
          <w:b/>
          <w:lang w:val="es-CO" w:eastAsia="es-ES"/>
        </w:rPr>
        <w:t>INTERPRETACIÓN DE LA DEMANDA-</w:t>
      </w:r>
      <w:r w:rsidRPr="009B08CC">
        <w:rPr>
          <w:rFonts w:ascii="Georgia" w:eastAsia="Times New Roman" w:hAnsi="Georgia" w:cs="Arial"/>
          <w:lang w:val="es-CO" w:eastAsia="es-ES"/>
        </w:rPr>
        <w:t>Ataque en casación.</w:t>
      </w:r>
      <w:r w:rsidRPr="009B08CC">
        <w:rPr>
          <w:rFonts w:ascii="Georgia" w:eastAsia="Times New Roman" w:hAnsi="Georgia" w:cs="Arial"/>
          <w:b/>
          <w:lang w:val="es-CO" w:eastAsia="es-ES"/>
        </w:rPr>
        <w:t xml:space="preserve"> </w:t>
      </w:r>
      <w:r w:rsidRPr="009B08CC">
        <w:rPr>
          <w:rFonts w:ascii="Georgia" w:eastAsia="Times New Roman" w:hAnsi="Georgia" w:cs="Arial"/>
          <w:lang w:val="es-CO" w:eastAsia="es-ES"/>
        </w:rPr>
        <w:t>Reiteración de las sentencias de</w:t>
      </w:r>
      <w:r w:rsidRPr="009B08CC">
        <w:rPr>
          <w:rFonts w:ascii="Georgia" w:eastAsia="Times New Roman" w:hAnsi="Georgia" w:cs="Arial"/>
          <w:b/>
          <w:lang w:val="es-CO" w:eastAsia="es-ES"/>
        </w:rPr>
        <w:t xml:space="preserve"> </w:t>
      </w:r>
      <w:r w:rsidRPr="009B08CC">
        <w:rPr>
          <w:rFonts w:ascii="Georgia" w:eastAsia="Times New Roman" w:hAnsi="Georgia" w:cs="Arial"/>
          <w:lang w:eastAsia="es-ES"/>
        </w:rPr>
        <w:t xml:space="preserve">19 de octubre de 1994 y de 18 diciembre de 2013.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eastAsia="Times New Roman" w:hAnsi="Georgia" w:cs="Arial"/>
          <w:b/>
          <w:lang w:val="es-CO" w:eastAsia="es-ES"/>
        </w:rPr>
        <w:instrText>INTERPRETACIÓN DE LA DEMANDA-</w:instrText>
      </w:r>
      <w:r w:rsidRPr="00175672">
        <w:rPr>
          <w:rFonts w:ascii="Georgia" w:eastAsia="Times New Roman" w:hAnsi="Georgia" w:cs="Arial"/>
          <w:lang w:val="es-CO" w:eastAsia="es-ES"/>
        </w:rPr>
        <w:instrText>Ataque en casación.</w:instrText>
      </w:r>
      <w:r w:rsidRPr="00175672">
        <w:rPr>
          <w:rFonts w:ascii="Georgia" w:eastAsia="Times New Roman" w:hAnsi="Georgia" w:cs="Arial"/>
          <w:b/>
          <w:lang w:val="es-CO" w:eastAsia="es-ES"/>
        </w:rPr>
        <w:instrText xml:space="preserve"> </w:instrText>
      </w:r>
      <w:r w:rsidRPr="00175672">
        <w:rPr>
          <w:rFonts w:ascii="Georgia" w:eastAsia="Times New Roman" w:hAnsi="Georgia" w:cs="Arial"/>
          <w:lang w:val="es-CO" w:eastAsia="es-ES"/>
        </w:rPr>
        <w:instrText>Reiteración de las sentencias de</w:instrText>
      </w:r>
      <w:r w:rsidRPr="00175672">
        <w:rPr>
          <w:rFonts w:ascii="Georgia" w:eastAsia="Times New Roman" w:hAnsi="Georgia" w:cs="Arial"/>
          <w:b/>
          <w:lang w:val="es-CO" w:eastAsia="es-ES"/>
        </w:rPr>
        <w:instrText xml:space="preserve"> </w:instrText>
      </w:r>
      <w:r w:rsidRPr="00175672">
        <w:rPr>
          <w:rFonts w:ascii="Georgia" w:eastAsia="Times New Roman" w:hAnsi="Georgia" w:cs="Arial"/>
          <w:lang w:eastAsia="es-ES"/>
        </w:rPr>
        <w:instrText xml:space="preserve">19 de octubre de 1994 y de 18 diciembre de 2013. </w:instrText>
      </w:r>
      <w:r w:rsidRPr="00175672">
        <w:rPr>
          <w:rFonts w:ascii="Georgia" w:hAnsi="Georgia" w:cs="Arial"/>
        </w:rPr>
        <w:instrText>(SC17154-2015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autoSpaceDE w:val="0"/>
        <w:autoSpaceDN w:val="0"/>
        <w:spacing w:after="0" w:line="240" w:lineRule="auto"/>
        <w:jc w:val="both"/>
        <w:rPr>
          <w:rFonts w:ascii="Georgia" w:eastAsia="Times New Roman" w:hAnsi="Georgia" w:cs="Arial"/>
          <w:lang w:eastAsia="es-ES"/>
        </w:rPr>
      </w:pPr>
    </w:p>
    <w:p w:rsidR="00D02C61" w:rsidRPr="009B08CC" w:rsidRDefault="00D02C61" w:rsidP="00D02C61">
      <w:pPr>
        <w:autoSpaceDE w:val="0"/>
        <w:autoSpaceDN w:val="0"/>
        <w:spacing w:after="0" w:line="240" w:lineRule="auto"/>
        <w:jc w:val="both"/>
        <w:rPr>
          <w:rFonts w:ascii="Georgia" w:eastAsia="Times New Roman" w:hAnsi="Georgia" w:cs="Arial"/>
          <w:b/>
          <w:lang w:val="es-CO" w:eastAsia="es-ES"/>
        </w:rPr>
      </w:pPr>
      <w:r w:rsidRPr="009B08CC">
        <w:rPr>
          <w:rFonts w:ascii="Georgia" w:eastAsia="Times New Roman" w:hAnsi="Georgia" w:cs="Arial"/>
          <w:b/>
          <w:lang w:val="es-CO" w:eastAsia="es-ES"/>
        </w:rPr>
        <w:lastRenderedPageBreak/>
        <w:t>Fuente jurisprudencial</w:t>
      </w:r>
      <w:r>
        <w:rPr>
          <w:rFonts w:ascii="Georgia" w:eastAsia="Times New Roman" w:hAnsi="Georgia" w:cs="Arial"/>
          <w:b/>
          <w:lang w:val="es-CO" w:eastAsia="es-ES"/>
        </w:rPr>
        <w:t>:</w:t>
      </w:r>
    </w:p>
    <w:p w:rsidR="00D02C61" w:rsidRPr="009B08CC" w:rsidRDefault="00D02C61" w:rsidP="00D02C61">
      <w:pPr>
        <w:autoSpaceDE w:val="0"/>
        <w:autoSpaceDN w:val="0"/>
        <w:spacing w:after="0" w:line="240" w:lineRule="auto"/>
        <w:jc w:val="both"/>
        <w:rPr>
          <w:rFonts w:ascii="Georgia" w:eastAsia="Times New Roman" w:hAnsi="Georgia" w:cs="Arial"/>
          <w:lang w:val="es-CO" w:eastAsia="es-ES"/>
        </w:rPr>
      </w:pPr>
      <w:r w:rsidRPr="009B08CC">
        <w:rPr>
          <w:rFonts w:ascii="Georgia" w:eastAsia="Times New Roman" w:hAnsi="Georgia" w:cs="Arial"/>
          <w:lang w:val="es-CO" w:eastAsia="es-ES"/>
        </w:rPr>
        <w:t>Sentencia de 19 de octubre de 1994 expediente 3972</w:t>
      </w:r>
      <w:r>
        <w:rPr>
          <w:rFonts w:ascii="Georgia" w:eastAsia="Times New Roman" w:hAnsi="Georgia" w:cs="Arial"/>
          <w:lang w:val="es-CO" w:eastAsia="es-ES"/>
        </w:rPr>
        <w:t>.</w:t>
      </w:r>
    </w:p>
    <w:p w:rsidR="00D02C61" w:rsidRPr="009B08CC" w:rsidRDefault="00D02C61" w:rsidP="00D02C61">
      <w:pPr>
        <w:autoSpaceDE w:val="0"/>
        <w:autoSpaceDN w:val="0"/>
        <w:spacing w:after="0" w:line="240" w:lineRule="auto"/>
        <w:jc w:val="both"/>
        <w:rPr>
          <w:rFonts w:ascii="Georgia" w:eastAsia="Times New Roman" w:hAnsi="Georgia" w:cs="Arial"/>
          <w:lang w:val="es-CO" w:eastAsia="es-ES"/>
        </w:rPr>
      </w:pPr>
      <w:r w:rsidRPr="009B08CC">
        <w:rPr>
          <w:rFonts w:ascii="Georgia" w:eastAsia="Times New Roman" w:hAnsi="Georgia" w:cs="Arial"/>
          <w:lang w:val="es-CO" w:eastAsia="es-ES"/>
        </w:rPr>
        <w:t>Sentencia de 18 de diciembre de 2013 expediente 2000-01098-01</w:t>
      </w:r>
      <w:r>
        <w:rPr>
          <w:rFonts w:ascii="Georgia" w:eastAsia="Times New Roman" w:hAnsi="Georgia" w:cs="Arial"/>
          <w:lang w:val="es-CO"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lang w:eastAsia="es-ES"/>
        </w:rPr>
      </w:pP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
          <w:bCs/>
          <w:lang w:val="es-MX" w:eastAsia="es-ES"/>
        </w:rPr>
        <w:t>APRECIACIÓN PROBATORIA-</w:t>
      </w:r>
      <w:r w:rsidRPr="009B08CC">
        <w:rPr>
          <w:rFonts w:ascii="Georgia" w:eastAsia="Times New Roman" w:hAnsi="Georgia" w:cs="Arial"/>
          <w:bCs/>
          <w:lang w:val="es-MX" w:eastAsia="es-ES"/>
        </w:rPr>
        <w:t xml:space="preserve">De documentos, interrogatorios de parte y testimonios en proceso de nulidad absoluta de escritura pública.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eastAsia="Times New Roman" w:hAnsi="Georgia" w:cs="Arial"/>
          <w:b/>
          <w:bCs/>
          <w:lang w:val="es-MX" w:eastAsia="es-ES"/>
        </w:rPr>
        <w:instrText>APRECIACIÓN PROBATORIA-</w:instrText>
      </w:r>
      <w:r w:rsidRPr="00175672">
        <w:rPr>
          <w:rFonts w:ascii="Georgia" w:eastAsia="Times New Roman" w:hAnsi="Georgia" w:cs="Arial"/>
          <w:bCs/>
          <w:lang w:val="es-MX" w:eastAsia="es-ES"/>
        </w:rPr>
        <w:instrText xml:space="preserve">De documentos, interrogatorios de parte y testimonios en proceso de nulidad absoluta de escritura pública. </w:instrText>
      </w:r>
      <w:r w:rsidRPr="00175672">
        <w:rPr>
          <w:rFonts w:ascii="Georgia" w:hAnsi="Georgia" w:cs="Arial"/>
        </w:rPr>
        <w:instrText>(SC17154-2015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
          <w:bCs/>
          <w:lang w:val="es-MX" w:eastAsia="es-ES"/>
        </w:rPr>
      </w:pPr>
      <w:r w:rsidRPr="009B08CC">
        <w:rPr>
          <w:rFonts w:ascii="Georgia" w:eastAsia="Times New Roman" w:hAnsi="Georgia" w:cs="Arial"/>
          <w:b/>
          <w:bCs/>
          <w:lang w:val="es-MX" w:eastAsia="es-ES"/>
        </w:rPr>
        <w:t>Fuente jurisprudencial</w:t>
      </w:r>
      <w:r>
        <w:rPr>
          <w:rFonts w:ascii="Georgia" w:eastAsia="Times New Roman" w:hAnsi="Georgia" w:cs="Arial"/>
          <w:b/>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de 11 de mayo de 2004, expediente 7661</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146 de 17 de octubre de 2006 expediente 06798-01</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de 11 de julio de 1990</w:t>
      </w:r>
      <w:r>
        <w:rPr>
          <w:rFonts w:ascii="Georgia" w:eastAsia="Times New Roman" w:hAnsi="Georgia" w:cs="Arial"/>
          <w:bCs/>
          <w:lang w:val="es-MX" w:eastAsia="es-ES"/>
        </w:rPr>
        <w:t>.</w:t>
      </w:r>
      <w:r w:rsidRPr="009B08CC">
        <w:rPr>
          <w:rFonts w:ascii="Georgia" w:eastAsia="Times New Roman" w:hAnsi="Georgia" w:cs="Arial"/>
          <w:bCs/>
          <w:lang w:val="es-MX" w:eastAsia="es-ES"/>
        </w:rPr>
        <w:t xml:space="preserve"> </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de 24 de enero de 1992</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Gaceta judicial CCXXXI pág 644</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de 19 de mayo de 2011, expediente 2006-00273-01</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de 22 de octubre de 1998</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de 23 de febrero de 2000 expediente 5371</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056 de 8 de abril de 2005 expediente 7730</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G. J. T. CCXLVI, Vol. I, pág. 270</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CCXLIX, II, página 1338</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r w:rsidRPr="009B08CC">
        <w:rPr>
          <w:rFonts w:ascii="Georgia" w:eastAsia="Times New Roman" w:hAnsi="Georgia" w:cs="Arial"/>
          <w:bCs/>
          <w:lang w:val="es-MX" w:eastAsia="es-ES"/>
        </w:rPr>
        <w:t>Sentencia de 23 de junio de 2011, radicación n. 2003-00222-01</w:t>
      </w:r>
      <w:r>
        <w:rPr>
          <w:rFonts w:ascii="Georgia" w:eastAsia="Times New Roman" w:hAnsi="Georgia" w:cs="Arial"/>
          <w:bCs/>
          <w:lang w:val="es-MX" w:eastAsia="es-ES"/>
        </w:rPr>
        <w:t>.</w:t>
      </w:r>
    </w:p>
    <w:p w:rsidR="00D02C61" w:rsidRPr="009B08CC" w:rsidRDefault="00D02C61" w:rsidP="00D02C61">
      <w:pPr>
        <w:keepNext/>
        <w:autoSpaceDE w:val="0"/>
        <w:autoSpaceDN w:val="0"/>
        <w:adjustRightInd w:val="0"/>
        <w:spacing w:after="0" w:line="240" w:lineRule="auto"/>
        <w:jc w:val="both"/>
        <w:rPr>
          <w:rFonts w:ascii="Georgia" w:eastAsia="Times New Roman" w:hAnsi="Georgia" w:cs="Arial"/>
          <w:bCs/>
          <w:lang w:val="es-MX" w:eastAsia="es-ES"/>
        </w:rPr>
      </w:pPr>
    </w:p>
    <w:p w:rsidR="00D02C61" w:rsidRPr="009B08CC" w:rsidRDefault="00D02C61" w:rsidP="00D02C61">
      <w:pPr>
        <w:spacing w:after="0" w:line="240" w:lineRule="auto"/>
        <w:jc w:val="both"/>
        <w:rPr>
          <w:rFonts w:ascii="Georgia" w:hAnsi="Georgia" w:cs="Arial"/>
        </w:rPr>
      </w:pPr>
      <w:r w:rsidRPr="009B08CC">
        <w:rPr>
          <w:rFonts w:ascii="Georgia" w:hAnsi="Georgia" w:cs="Arial"/>
          <w:b/>
        </w:rPr>
        <w:t>CARGO INCOMPLETO</w:t>
      </w:r>
      <w:r w:rsidRPr="009B08CC">
        <w:rPr>
          <w:rFonts w:ascii="Georgia" w:hAnsi="Georgia" w:cs="Arial"/>
        </w:rPr>
        <w:t xml:space="preserve">–Ausencia de ataque a los argumentos fundamentales en que se basó la decisión.  Reiteración del auto de 22 de agosto de 2011 y la sentencia de 12 de abril de 2004.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hAnsi="Georgia" w:cs="Arial"/>
          <w:b/>
        </w:rPr>
        <w:instrText>CARGO INCOMPLETO</w:instrText>
      </w:r>
      <w:r w:rsidRPr="00175672">
        <w:rPr>
          <w:rFonts w:ascii="Georgia" w:hAnsi="Georgia" w:cs="Arial"/>
        </w:rPr>
        <w:instrText>–Ausencia de ataque a los argumentos fundamentales en que se basó la decisión.  Reiteración del auto de 22 de agosto de 2011 y la sentencia de 12 de abril de 2004. (SC17154-2015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spacing w:after="0" w:line="240" w:lineRule="auto"/>
        <w:jc w:val="both"/>
        <w:rPr>
          <w:rFonts w:ascii="Georgia" w:hAnsi="Georgia" w:cs="Arial"/>
        </w:rPr>
      </w:pPr>
    </w:p>
    <w:p w:rsidR="00D02C61" w:rsidRPr="009B08CC" w:rsidRDefault="00D02C61" w:rsidP="00D02C61">
      <w:pPr>
        <w:spacing w:after="0" w:line="240" w:lineRule="auto"/>
        <w:jc w:val="both"/>
        <w:rPr>
          <w:rFonts w:ascii="Georgia" w:hAnsi="Georgia" w:cs="Arial"/>
          <w:b/>
        </w:rPr>
      </w:pPr>
      <w:r w:rsidRPr="009B08CC">
        <w:rPr>
          <w:rFonts w:ascii="Georgia" w:hAnsi="Georgia" w:cs="Arial"/>
          <w:b/>
        </w:rPr>
        <w:t>Fuente jurisprudencial</w:t>
      </w:r>
      <w:r>
        <w:rPr>
          <w:rFonts w:ascii="Georgia" w:hAnsi="Georgia" w:cs="Arial"/>
          <w:b/>
        </w:rPr>
        <w:t>:</w:t>
      </w:r>
    </w:p>
    <w:p w:rsidR="00D02C61" w:rsidRPr="009B08CC" w:rsidRDefault="00D02C61" w:rsidP="00D02C61">
      <w:pPr>
        <w:spacing w:after="0" w:line="240" w:lineRule="auto"/>
        <w:jc w:val="both"/>
        <w:rPr>
          <w:rFonts w:ascii="Georgia" w:hAnsi="Georgia" w:cs="Arial"/>
        </w:rPr>
      </w:pPr>
      <w:r w:rsidRPr="009B08CC">
        <w:rPr>
          <w:rFonts w:ascii="Georgia" w:hAnsi="Georgia" w:cs="Arial"/>
        </w:rPr>
        <w:t>Auto de 22 de agosto de 2011 expediente 2007-00285</w:t>
      </w:r>
      <w:r>
        <w:rPr>
          <w:rFonts w:ascii="Georgia" w:hAnsi="Georgia" w:cs="Arial"/>
        </w:rPr>
        <w:t>.</w:t>
      </w:r>
    </w:p>
    <w:p w:rsidR="00D02C61" w:rsidRPr="009B08CC" w:rsidRDefault="00D02C61" w:rsidP="00D02C61">
      <w:pPr>
        <w:spacing w:after="0" w:line="240" w:lineRule="auto"/>
        <w:jc w:val="both"/>
        <w:rPr>
          <w:rFonts w:ascii="Georgia" w:hAnsi="Georgia" w:cs="Arial"/>
        </w:rPr>
      </w:pPr>
      <w:r w:rsidRPr="009B08CC">
        <w:rPr>
          <w:rFonts w:ascii="Georgia" w:hAnsi="Georgia" w:cs="Arial"/>
        </w:rPr>
        <w:t>Sentencia 035 de 12 de abril de 2004 expediente 7077</w:t>
      </w:r>
      <w:r>
        <w:rPr>
          <w:rFonts w:ascii="Georgia" w:hAnsi="Georgia" w:cs="Arial"/>
        </w:rPr>
        <w:t>.</w:t>
      </w:r>
    </w:p>
    <w:p w:rsidR="00D02C61" w:rsidRPr="009B08CC" w:rsidRDefault="00D02C61" w:rsidP="00D02C61">
      <w:pPr>
        <w:spacing w:after="0" w:line="240" w:lineRule="auto"/>
        <w:jc w:val="both"/>
        <w:rPr>
          <w:rFonts w:ascii="Georgia" w:hAnsi="Georgia" w:cs="Arial"/>
        </w:rPr>
      </w:pPr>
    </w:p>
    <w:p w:rsidR="00D02C61" w:rsidRPr="009B08CC" w:rsidRDefault="00D02C61" w:rsidP="00D02C61">
      <w:pPr>
        <w:spacing w:after="0" w:line="240" w:lineRule="auto"/>
        <w:jc w:val="both"/>
        <w:rPr>
          <w:rFonts w:ascii="Georgia" w:hAnsi="Georgia" w:cs="Arial"/>
        </w:rPr>
      </w:pPr>
      <w:r w:rsidRPr="009B08CC">
        <w:rPr>
          <w:rFonts w:ascii="Georgia" w:hAnsi="Georgia" w:cs="Arial"/>
          <w:b/>
        </w:rPr>
        <w:t>TÉCNICA DE CASACIÓN</w:t>
      </w:r>
      <w:r w:rsidRPr="009B08CC">
        <w:rPr>
          <w:rFonts w:ascii="Georgia" w:hAnsi="Georgia" w:cs="Arial"/>
        </w:rPr>
        <w:t>–Intrascendencia de los cargos. Reiteración sentencias de 26 de marzo de 2001, 31 de agosto de 2011, 19 de mayo de 2004 y 9 de noviembre de 2006.</w:t>
      </w:r>
      <w:r>
        <w:rPr>
          <w:rFonts w:ascii="Georgia" w:hAnsi="Georgia" w:cs="Arial"/>
        </w:rPr>
        <w:t xml:space="preserve">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hAnsi="Georgia" w:cs="Arial"/>
          <w:b/>
        </w:rPr>
        <w:instrText>TÉCNICA DE CASACIÓN</w:instrText>
      </w:r>
      <w:r w:rsidRPr="00175672">
        <w:rPr>
          <w:rFonts w:ascii="Georgia" w:hAnsi="Georgia" w:cs="Arial"/>
        </w:rPr>
        <w:instrText>–Intrascendencia de los cargos. Reiteración sentencias de 26 de marzo de 2001, 31 de agosto de 2011, 19 de mayo de 2004 y 9 de noviembre de 2006. (SC17154-2015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p>
    <w:p w:rsidR="00D02C61" w:rsidRPr="009B08CC" w:rsidRDefault="00D02C61" w:rsidP="00D02C61">
      <w:pPr>
        <w:spacing w:after="0" w:line="240" w:lineRule="auto"/>
        <w:jc w:val="both"/>
        <w:rPr>
          <w:rFonts w:ascii="Georgia" w:hAnsi="Georgia" w:cs="Arial"/>
        </w:rPr>
      </w:pPr>
    </w:p>
    <w:p w:rsidR="00D02C61" w:rsidRPr="009B08CC" w:rsidRDefault="00D02C61" w:rsidP="00D02C61">
      <w:pPr>
        <w:spacing w:after="0" w:line="240" w:lineRule="auto"/>
        <w:jc w:val="both"/>
        <w:rPr>
          <w:rFonts w:ascii="Georgia" w:hAnsi="Georgia" w:cs="Arial"/>
          <w:b/>
        </w:rPr>
      </w:pPr>
      <w:r w:rsidRPr="009B08CC">
        <w:rPr>
          <w:rFonts w:ascii="Georgia" w:hAnsi="Georgia" w:cs="Arial"/>
          <w:b/>
        </w:rPr>
        <w:t>Fuente jurisprudencial</w:t>
      </w:r>
      <w:r>
        <w:rPr>
          <w:rFonts w:ascii="Georgia" w:hAnsi="Georgia" w:cs="Arial"/>
          <w:b/>
        </w:rPr>
        <w:t>:</w:t>
      </w:r>
    </w:p>
    <w:p w:rsidR="00D02C61" w:rsidRPr="009B08CC" w:rsidRDefault="00D02C61" w:rsidP="00D02C61">
      <w:pPr>
        <w:spacing w:after="0" w:line="240" w:lineRule="auto"/>
        <w:jc w:val="both"/>
        <w:rPr>
          <w:rFonts w:ascii="Georgia" w:hAnsi="Georgia" w:cs="Arial"/>
        </w:rPr>
      </w:pPr>
      <w:r w:rsidRPr="009B08CC">
        <w:rPr>
          <w:rFonts w:ascii="Georgia" w:hAnsi="Georgia" w:cs="Arial"/>
        </w:rPr>
        <w:t>Sentencia de 26 de marzo de 2001 expediente 5823</w:t>
      </w:r>
      <w:r>
        <w:rPr>
          <w:rFonts w:ascii="Georgia" w:hAnsi="Georgia" w:cs="Arial"/>
        </w:rPr>
        <w:t>.</w:t>
      </w:r>
    </w:p>
    <w:p w:rsidR="00D02C61" w:rsidRPr="009B08CC" w:rsidRDefault="00D02C61" w:rsidP="00D02C61">
      <w:pPr>
        <w:spacing w:after="0" w:line="240" w:lineRule="auto"/>
        <w:jc w:val="both"/>
        <w:rPr>
          <w:rFonts w:ascii="Georgia" w:hAnsi="Georgia" w:cs="Arial"/>
        </w:rPr>
      </w:pPr>
      <w:r w:rsidRPr="009B08CC">
        <w:rPr>
          <w:rFonts w:ascii="Georgia" w:hAnsi="Georgia" w:cs="Arial"/>
        </w:rPr>
        <w:t>Sentencia de 31 de agosto de 2011 expediente 2004-00359-01</w:t>
      </w:r>
      <w:r>
        <w:rPr>
          <w:rFonts w:ascii="Georgia" w:hAnsi="Georgia" w:cs="Arial"/>
        </w:rPr>
        <w:t>.</w:t>
      </w:r>
    </w:p>
    <w:p w:rsidR="00D02C61" w:rsidRPr="009B08CC" w:rsidRDefault="00D02C61" w:rsidP="00D02C61">
      <w:pPr>
        <w:spacing w:after="0" w:line="240" w:lineRule="auto"/>
        <w:jc w:val="both"/>
        <w:rPr>
          <w:rFonts w:ascii="Georgia" w:hAnsi="Georgia" w:cs="Arial"/>
        </w:rPr>
      </w:pPr>
      <w:r w:rsidRPr="009B08CC">
        <w:rPr>
          <w:rFonts w:ascii="Georgia" w:hAnsi="Georgia" w:cs="Arial"/>
        </w:rPr>
        <w:t>Sentencia de 19 de mayo de 2004 expediente 7145</w:t>
      </w:r>
      <w:r>
        <w:rPr>
          <w:rFonts w:ascii="Georgia" w:hAnsi="Georgia" w:cs="Arial"/>
        </w:rPr>
        <w:t>.</w:t>
      </w:r>
    </w:p>
    <w:p w:rsidR="00D02C61" w:rsidRPr="009B08CC" w:rsidRDefault="00D02C61" w:rsidP="00D02C61">
      <w:pPr>
        <w:spacing w:after="0" w:line="240" w:lineRule="auto"/>
        <w:jc w:val="both"/>
        <w:rPr>
          <w:rFonts w:ascii="Georgia" w:hAnsi="Georgia" w:cs="Arial"/>
        </w:rPr>
      </w:pPr>
      <w:r w:rsidRPr="009B08CC">
        <w:rPr>
          <w:rFonts w:ascii="Georgia" w:hAnsi="Georgia" w:cs="Arial"/>
        </w:rPr>
        <w:t>Sentencia de 9 de noviembre de 2006 expediente 00684-01</w:t>
      </w:r>
      <w:r>
        <w:rPr>
          <w:rFonts w:ascii="Georgia" w:hAnsi="Georgia" w:cs="Arial"/>
        </w:rPr>
        <w:t>.</w:t>
      </w:r>
    </w:p>
    <w:p w:rsidR="00D02C61" w:rsidRPr="009B08CC" w:rsidRDefault="00D02C61" w:rsidP="00D02C61">
      <w:pPr>
        <w:spacing w:after="0" w:line="240" w:lineRule="auto"/>
        <w:jc w:val="both"/>
        <w:rPr>
          <w:rFonts w:ascii="Georgia" w:hAnsi="Georgia" w:cs="Arial"/>
        </w:rPr>
      </w:pPr>
    </w:p>
    <w:p w:rsidR="00D02C61" w:rsidRPr="009B08CC" w:rsidRDefault="00D02C61" w:rsidP="00D02C61">
      <w:pPr>
        <w:spacing w:after="0" w:line="240" w:lineRule="auto"/>
        <w:jc w:val="both"/>
        <w:rPr>
          <w:rFonts w:ascii="Georgia" w:hAnsi="Georgia" w:cs="Arial"/>
        </w:rPr>
      </w:pPr>
      <w:r w:rsidRPr="009B08CC">
        <w:rPr>
          <w:rFonts w:ascii="Georgia" w:hAnsi="Georgia" w:cs="Arial"/>
          <w:b/>
        </w:rPr>
        <w:t>DESENFOQUE DEL CARGO-</w:t>
      </w:r>
      <w:r w:rsidRPr="009B08CC">
        <w:rPr>
          <w:rFonts w:ascii="Georgia" w:hAnsi="Georgia" w:cs="Arial"/>
        </w:rPr>
        <w:t>Desconocimiento de acuerdo conciliatorio planteado como causal de nulidad absoluta. Ausencia de cotejo entre los medios probatorios y lo determinado por el juzgador.</w:t>
      </w:r>
      <w:r>
        <w:rPr>
          <w:rFonts w:ascii="Georgia" w:hAnsi="Georgia" w:cs="Arial"/>
        </w:rPr>
        <w:t xml:space="preserve"> </w:t>
      </w:r>
      <w:r w:rsidRPr="00685E93">
        <w:rPr>
          <w:rFonts w:ascii="Georgia" w:hAnsi="Georgia" w:cs="Arial"/>
        </w:rPr>
        <w:t>(SC1</w:t>
      </w:r>
      <w:r>
        <w:rPr>
          <w:rFonts w:ascii="Georgia" w:hAnsi="Georgia" w:cs="Arial"/>
        </w:rPr>
        <w:t>7154</w:t>
      </w:r>
      <w:r w:rsidRPr="00685E93">
        <w:rPr>
          <w:rFonts w:ascii="Georgia" w:hAnsi="Georgia" w:cs="Arial"/>
        </w:rPr>
        <w:t xml:space="preserve">-2015; </w:t>
      </w:r>
      <w:r>
        <w:rPr>
          <w:rFonts w:ascii="Georgia" w:hAnsi="Georgia" w:cs="Arial"/>
        </w:rPr>
        <w:t>11</w:t>
      </w:r>
      <w:r w:rsidRPr="00685E93">
        <w:rPr>
          <w:rFonts w:ascii="Georgia" w:hAnsi="Georgia" w:cs="Arial"/>
        </w:rPr>
        <w:t>/</w:t>
      </w:r>
      <w:r>
        <w:rPr>
          <w:rFonts w:ascii="Georgia" w:hAnsi="Georgia" w:cs="Arial"/>
        </w:rPr>
        <w:t xml:space="preserve">12 </w:t>
      </w:r>
      <w:r w:rsidRPr="00685E93">
        <w:rPr>
          <w:rFonts w:ascii="Georgia" w:hAnsi="Georgia" w:cs="Arial"/>
        </w:rPr>
        <w:t>/2015)</w:t>
      </w:r>
      <w:r>
        <w:rPr>
          <w:rFonts w:ascii="Georgia" w:hAnsi="Georgia" w:cs="Arial"/>
        </w:rPr>
        <w:fldChar w:fldCharType="begin"/>
      </w:r>
      <w:r>
        <w:instrText xml:space="preserve"> XE "</w:instrText>
      </w:r>
      <w:r w:rsidRPr="00175672">
        <w:rPr>
          <w:rFonts w:ascii="Georgia" w:hAnsi="Georgia" w:cs="Arial"/>
          <w:b/>
        </w:rPr>
        <w:instrText>DESENFOQUE DEL CARGO-</w:instrText>
      </w:r>
      <w:r w:rsidRPr="00175672">
        <w:rPr>
          <w:rFonts w:ascii="Georgia" w:hAnsi="Georgia" w:cs="Arial"/>
        </w:rPr>
        <w:instrText>Desconocimiento de acuerdo conciliatorio planteado como causal de nulidad absoluta. Ausencia de cotejo entre los medios probatorios y lo determinado por el juzgador. (SC17154-2015</w:instrText>
      </w:r>
      <w:r w:rsidRPr="00175672">
        <w:instrText>\</w:instrText>
      </w:r>
      <w:r w:rsidRPr="00175672">
        <w:rPr>
          <w:rFonts w:ascii="Georgia" w:hAnsi="Georgia" w:cs="Arial"/>
        </w:rPr>
        <w:instrText>; 11/12 /2015)</w:instrText>
      </w:r>
      <w:r>
        <w:instrText xml:space="preserve">" </w:instrText>
      </w:r>
      <w:r>
        <w:rPr>
          <w:rFonts w:ascii="Georgia" w:hAnsi="Georgia" w:cs="Arial"/>
        </w:rPr>
        <w:fldChar w:fldCharType="end"/>
      </w:r>
      <w:r w:rsidRPr="009B08CC">
        <w:rPr>
          <w:rFonts w:ascii="Georgia" w:hAnsi="Georgia" w:cs="Arial"/>
          <w:b/>
        </w:rPr>
        <w:t xml:space="preserve"> </w:t>
      </w:r>
    </w:p>
    <w:p w:rsidR="00D02C61" w:rsidRPr="009B08CC" w:rsidRDefault="00D02C61" w:rsidP="00D02C61">
      <w:pPr>
        <w:spacing w:after="0" w:line="240" w:lineRule="auto"/>
        <w:jc w:val="both"/>
        <w:rPr>
          <w:rFonts w:ascii="Georgia" w:hAnsi="Georgia" w:cs="Arial"/>
        </w:rPr>
      </w:pPr>
    </w:p>
    <w:p w:rsidR="00D02C61" w:rsidRPr="009B08CC" w:rsidRDefault="00D02C61" w:rsidP="00D02C61">
      <w:pPr>
        <w:spacing w:after="0" w:line="240" w:lineRule="auto"/>
        <w:jc w:val="both"/>
        <w:rPr>
          <w:rFonts w:ascii="Georgia" w:hAnsi="Georgia" w:cs="Arial"/>
          <w:b/>
        </w:rPr>
      </w:pPr>
      <w:r w:rsidRPr="009B08CC">
        <w:rPr>
          <w:rFonts w:ascii="Georgia" w:hAnsi="Georgia" w:cs="Arial"/>
          <w:b/>
        </w:rPr>
        <w:t>Fuente jurisprudencial</w:t>
      </w:r>
      <w:r>
        <w:rPr>
          <w:rFonts w:ascii="Georgia" w:hAnsi="Georgia" w:cs="Arial"/>
          <w:b/>
        </w:rPr>
        <w:t>:</w:t>
      </w:r>
    </w:p>
    <w:p w:rsidR="00D02C61" w:rsidRPr="009B08CC" w:rsidRDefault="00D02C61" w:rsidP="00D02C61">
      <w:pPr>
        <w:pStyle w:val="Sinespaciado"/>
        <w:rPr>
          <w:rFonts w:ascii="Georgia" w:hAnsi="Georgia" w:cs="Arial"/>
        </w:rPr>
      </w:pPr>
      <w:r w:rsidRPr="009B08CC">
        <w:rPr>
          <w:rFonts w:ascii="Georgia" w:hAnsi="Georgia" w:cs="Arial"/>
        </w:rPr>
        <w:t>Auto de 2 de noviembre de 2011 expediente 2003-00428</w:t>
      </w:r>
      <w:r>
        <w:rPr>
          <w:rFonts w:ascii="Georgia" w:hAnsi="Georgia" w:cs="Arial"/>
        </w:rPr>
        <w:t>.</w:t>
      </w:r>
    </w:p>
    <w:p w:rsidR="00D02C61" w:rsidRPr="009B08CC" w:rsidRDefault="00D02C61" w:rsidP="00D02C61">
      <w:pPr>
        <w:pStyle w:val="Sinespaciado"/>
        <w:rPr>
          <w:rFonts w:ascii="Georgia" w:hAnsi="Georgia" w:cs="Arial"/>
        </w:rPr>
      </w:pPr>
      <w:r w:rsidRPr="009B08CC">
        <w:rPr>
          <w:rFonts w:ascii="Georgia" w:hAnsi="Georgia" w:cs="Arial"/>
        </w:rPr>
        <w:t>Auto de 30 de agosto de 2010 expediente 1999-02099-01</w:t>
      </w:r>
      <w:r>
        <w:rPr>
          <w:rFonts w:ascii="Georgia" w:hAnsi="Georgia" w:cs="Arial"/>
        </w:rPr>
        <w:t>.</w:t>
      </w:r>
    </w:p>
    <w:p w:rsidR="00D02C61" w:rsidRPr="009B08CC" w:rsidRDefault="00D02C61" w:rsidP="00D02C61">
      <w:pPr>
        <w:spacing w:after="0" w:line="240" w:lineRule="auto"/>
        <w:jc w:val="both"/>
        <w:rPr>
          <w:rFonts w:ascii="Georgia" w:hAnsi="Georgia" w:cs="Arial"/>
        </w:rPr>
      </w:pPr>
    </w:p>
    <w:p w:rsidR="00D02C61" w:rsidRPr="009B08CC" w:rsidRDefault="00D02C61" w:rsidP="00D02C61">
      <w:pPr>
        <w:spacing w:after="0" w:line="240" w:lineRule="auto"/>
        <w:rPr>
          <w:rFonts w:ascii="Georgia" w:hAnsi="Georgia" w:cs="Arial"/>
          <w:b/>
        </w:rPr>
      </w:pPr>
      <w:r w:rsidRPr="009B08CC">
        <w:rPr>
          <w:rFonts w:ascii="Georgia" w:hAnsi="Georgia" w:cs="Arial"/>
          <w:b/>
        </w:rPr>
        <w:t>Asunto</w:t>
      </w:r>
      <w:r>
        <w:rPr>
          <w:rFonts w:ascii="Georgia" w:hAnsi="Georgia" w:cs="Arial"/>
          <w:b/>
        </w:rPr>
        <w:t>:</w:t>
      </w:r>
    </w:p>
    <w:p w:rsidR="005C7870" w:rsidRDefault="00D02C61" w:rsidP="00D02C61">
      <w:pPr>
        <w:autoSpaceDE w:val="0"/>
        <w:autoSpaceDN w:val="0"/>
        <w:spacing w:after="0" w:line="240" w:lineRule="auto"/>
        <w:jc w:val="both"/>
        <w:outlineLvl w:val="0"/>
        <w:rPr>
          <w:rFonts w:ascii="Bookman Old Style" w:eastAsia="Times New Roman" w:hAnsi="Bookman Old Style" w:cs="Arial"/>
          <w:b/>
          <w:bCs/>
          <w:sz w:val="28"/>
          <w:szCs w:val="28"/>
          <w:lang w:eastAsia="es-ES"/>
        </w:rPr>
      </w:pPr>
      <w:r w:rsidRPr="009B08CC">
        <w:rPr>
          <w:rFonts w:ascii="Georgia" w:hAnsi="Georgia" w:cs="Arial"/>
        </w:rPr>
        <w:t xml:space="preserve">Pretende el demandante se declare la nulidad absoluta por falta de soportes técnicos, objeto y causa ilícita de las escrituras públicas mediante las cuales se efectuó actualización y rectificación de medidas y linderos del predio EL ENCERRADO de propiedad de los demandados, incrementando su área, en perjuicio del terreno LOURDES adquirido por los actores, pretensiones negadas en primera y segunda instancia al no encontrar que se configure alguna de las causales que conducen a la nulidad absoluta.  Interpuesto el recurso de casación por violación indirecta de la norma sustancial como consecuencia de errores de hecho por indebida interpretación de la </w:t>
      </w:r>
      <w:r w:rsidRPr="009B08CC">
        <w:rPr>
          <w:rFonts w:ascii="Georgia" w:hAnsi="Georgia" w:cs="Arial"/>
        </w:rPr>
        <w:lastRenderedPageBreak/>
        <w:t>demanda y apreciación probatoria, la Corte no casó la sentencia al no hallar demostrados los errores acusados.</w:t>
      </w:r>
    </w:p>
    <w:p w:rsidR="005C7870" w:rsidRDefault="005C7870" w:rsidP="00C028BE">
      <w:pPr>
        <w:autoSpaceDE w:val="0"/>
        <w:autoSpaceDN w:val="0"/>
        <w:spacing w:after="0" w:line="360" w:lineRule="auto"/>
        <w:jc w:val="center"/>
        <w:outlineLvl w:val="0"/>
        <w:rPr>
          <w:rFonts w:ascii="Bookman Old Style" w:eastAsia="Times New Roman" w:hAnsi="Bookman Old Style" w:cs="Arial"/>
          <w:b/>
          <w:bCs/>
          <w:sz w:val="28"/>
          <w:szCs w:val="28"/>
          <w:lang w:eastAsia="es-ES"/>
        </w:rPr>
      </w:pPr>
    </w:p>
    <w:p w:rsidR="00C028BE" w:rsidRPr="00C028BE" w:rsidRDefault="00C028BE" w:rsidP="00C028BE">
      <w:pPr>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C028BE">
        <w:rPr>
          <w:rFonts w:ascii="Bookman Old Style" w:eastAsia="Times New Roman" w:hAnsi="Bookman Old Style" w:cs="Arial"/>
          <w:b/>
          <w:bCs/>
          <w:sz w:val="28"/>
          <w:szCs w:val="28"/>
          <w:lang w:eastAsia="es-ES"/>
        </w:rPr>
        <w:t>CORTE SUPREMA DE JUSTICIA</w:t>
      </w:r>
    </w:p>
    <w:p w:rsidR="00C028BE" w:rsidRPr="00C028BE" w:rsidRDefault="00C028BE" w:rsidP="00C028BE">
      <w:pPr>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C028BE">
        <w:rPr>
          <w:rFonts w:ascii="Bookman Old Style" w:eastAsia="Times New Roman" w:hAnsi="Bookman Old Style" w:cs="Arial"/>
          <w:b/>
          <w:bCs/>
          <w:sz w:val="28"/>
          <w:szCs w:val="28"/>
          <w:lang w:eastAsia="es-ES"/>
        </w:rPr>
        <w:t xml:space="preserve">SALA DE CASACION CIVIL </w:t>
      </w:r>
    </w:p>
    <w:p w:rsidR="00C028BE" w:rsidRPr="00C028BE" w:rsidRDefault="00C028BE" w:rsidP="00C028BE">
      <w:pPr>
        <w:autoSpaceDE w:val="0"/>
        <w:autoSpaceDN w:val="0"/>
        <w:spacing w:after="0" w:line="360" w:lineRule="auto"/>
        <w:jc w:val="center"/>
        <w:outlineLvl w:val="0"/>
        <w:rPr>
          <w:rFonts w:ascii="Bookman Old Style" w:eastAsia="Times New Roman" w:hAnsi="Bookman Old Style" w:cs="Arial"/>
          <w:b/>
          <w:bCs/>
          <w:sz w:val="28"/>
          <w:szCs w:val="28"/>
          <w:lang w:eastAsia="es-ES"/>
        </w:rPr>
      </w:pPr>
    </w:p>
    <w:p w:rsidR="00C028BE" w:rsidRPr="00C028BE" w:rsidRDefault="00C028BE" w:rsidP="00C028BE">
      <w:pPr>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C028BE">
        <w:rPr>
          <w:rFonts w:ascii="Bookman Old Style" w:eastAsia="Times New Roman" w:hAnsi="Bookman Old Style" w:cs="Arial"/>
          <w:b/>
          <w:bCs/>
          <w:sz w:val="28"/>
          <w:szCs w:val="28"/>
          <w:lang w:eastAsia="es-ES"/>
        </w:rPr>
        <w:t>MARGARITA CABELLO BLANCO</w:t>
      </w:r>
    </w:p>
    <w:p w:rsidR="00C028BE" w:rsidRDefault="00313BF9" w:rsidP="00C028BE">
      <w:pPr>
        <w:autoSpaceDE w:val="0"/>
        <w:autoSpaceDN w:val="0"/>
        <w:spacing w:after="0" w:line="360" w:lineRule="auto"/>
        <w:jc w:val="center"/>
        <w:outlineLvl w:val="0"/>
        <w:rPr>
          <w:rFonts w:ascii="Bookman Old Style" w:eastAsia="Times New Roman" w:hAnsi="Bookman Old Style" w:cs="Arial"/>
          <w:b/>
          <w:bCs/>
          <w:sz w:val="28"/>
          <w:szCs w:val="28"/>
          <w:lang w:eastAsia="es-ES"/>
        </w:rPr>
      </w:pPr>
      <w:r>
        <w:rPr>
          <w:rFonts w:ascii="Bookman Old Style" w:eastAsia="Times New Roman" w:hAnsi="Bookman Old Style" w:cs="Arial"/>
          <w:b/>
          <w:bCs/>
          <w:sz w:val="28"/>
          <w:szCs w:val="28"/>
          <w:lang w:eastAsia="es-ES"/>
        </w:rPr>
        <w:t>Magistrada p</w:t>
      </w:r>
      <w:r w:rsidR="00C028BE" w:rsidRPr="00C028BE">
        <w:rPr>
          <w:rFonts w:ascii="Bookman Old Style" w:eastAsia="Times New Roman" w:hAnsi="Bookman Old Style" w:cs="Arial"/>
          <w:b/>
          <w:bCs/>
          <w:sz w:val="28"/>
          <w:szCs w:val="28"/>
          <w:lang w:eastAsia="es-ES"/>
        </w:rPr>
        <w:t>onente</w:t>
      </w:r>
    </w:p>
    <w:p w:rsidR="00313BF9" w:rsidRPr="00C028BE" w:rsidRDefault="00313BF9" w:rsidP="00C028BE">
      <w:pPr>
        <w:autoSpaceDE w:val="0"/>
        <w:autoSpaceDN w:val="0"/>
        <w:spacing w:after="0" w:line="360" w:lineRule="auto"/>
        <w:jc w:val="center"/>
        <w:outlineLvl w:val="0"/>
        <w:rPr>
          <w:rFonts w:ascii="Bookman Old Style" w:eastAsia="Times New Roman" w:hAnsi="Bookman Old Style" w:cs="Arial"/>
          <w:b/>
          <w:bCs/>
          <w:sz w:val="28"/>
          <w:szCs w:val="28"/>
          <w:lang w:eastAsia="es-ES"/>
        </w:rPr>
      </w:pPr>
    </w:p>
    <w:p w:rsidR="00C028BE" w:rsidRPr="00313BF9" w:rsidRDefault="00122585" w:rsidP="00C028BE">
      <w:pPr>
        <w:autoSpaceDE w:val="0"/>
        <w:autoSpaceDN w:val="0"/>
        <w:spacing w:after="0" w:line="360" w:lineRule="auto"/>
        <w:ind w:left="708" w:firstLine="708"/>
        <w:jc w:val="both"/>
        <w:outlineLvl w:val="0"/>
        <w:rPr>
          <w:rFonts w:ascii="Bookman Old Style" w:eastAsia="Times New Roman" w:hAnsi="Bookman Old Style" w:cs="Arial"/>
          <w:b/>
          <w:sz w:val="28"/>
          <w:szCs w:val="28"/>
          <w:lang w:eastAsia="es-ES"/>
        </w:rPr>
      </w:pPr>
      <w:r>
        <w:rPr>
          <w:rFonts w:ascii="Bookman Old Style" w:eastAsia="Times New Roman" w:hAnsi="Bookman Old Style" w:cs="Arial"/>
          <w:sz w:val="28"/>
          <w:szCs w:val="28"/>
          <w:lang w:eastAsia="es-ES"/>
        </w:rPr>
        <w:t xml:space="preserve">                   </w:t>
      </w:r>
      <w:r w:rsidRPr="00122585">
        <w:rPr>
          <w:rFonts w:ascii="Bookman Old Style" w:eastAsia="Times New Roman" w:hAnsi="Bookman Old Style" w:cs="Arial"/>
          <w:b/>
          <w:sz w:val="28"/>
          <w:szCs w:val="28"/>
          <w:lang w:eastAsia="es-ES"/>
        </w:rPr>
        <w:t>SC17154-2015</w:t>
      </w:r>
    </w:p>
    <w:p w:rsidR="00C028BE" w:rsidRPr="00C028BE" w:rsidRDefault="00C028BE" w:rsidP="00313BF9">
      <w:pPr>
        <w:autoSpaceDE w:val="0"/>
        <w:autoSpaceDN w:val="0"/>
        <w:spacing w:after="0" w:line="276" w:lineRule="auto"/>
        <w:ind w:firstLine="708"/>
        <w:outlineLvl w:val="0"/>
        <w:rPr>
          <w:rFonts w:ascii="Bookman Old Style" w:eastAsia="Times New Roman" w:hAnsi="Bookman Old Style" w:cs="Arial"/>
          <w:b/>
          <w:sz w:val="28"/>
          <w:szCs w:val="28"/>
          <w:lang w:eastAsia="es-ES"/>
        </w:rPr>
      </w:pPr>
      <w:r w:rsidRPr="00C028BE">
        <w:rPr>
          <w:rFonts w:ascii="Bookman Old Style" w:eastAsia="Times New Roman" w:hAnsi="Bookman Old Style" w:cs="Arial"/>
          <w:b/>
          <w:bCs/>
          <w:sz w:val="28"/>
          <w:szCs w:val="28"/>
          <w:lang w:eastAsia="es-ES"/>
        </w:rPr>
        <w:t xml:space="preserve">    Radicación n° 11001 31 03 004 2</w:t>
      </w:r>
      <w:r w:rsidR="007F3DFF">
        <w:rPr>
          <w:rFonts w:ascii="Bookman Old Style" w:eastAsia="Times New Roman" w:hAnsi="Bookman Old Style" w:cs="Arial"/>
          <w:b/>
          <w:bCs/>
          <w:sz w:val="28"/>
          <w:szCs w:val="28"/>
          <w:lang w:eastAsia="es-ES"/>
        </w:rPr>
        <w:t>0</w:t>
      </w:r>
      <w:r w:rsidRPr="00C028BE">
        <w:rPr>
          <w:rFonts w:ascii="Bookman Old Style" w:eastAsia="Times New Roman" w:hAnsi="Bookman Old Style" w:cs="Arial"/>
          <w:b/>
          <w:bCs/>
          <w:sz w:val="28"/>
          <w:szCs w:val="28"/>
          <w:lang w:eastAsia="es-ES"/>
        </w:rPr>
        <w:t xml:space="preserve">11 00125 01 </w:t>
      </w:r>
    </w:p>
    <w:p w:rsidR="00C028BE" w:rsidRPr="00313BF9" w:rsidRDefault="00313BF9" w:rsidP="00313BF9">
      <w:pPr>
        <w:autoSpaceDE w:val="0"/>
        <w:autoSpaceDN w:val="0"/>
        <w:spacing w:after="0" w:line="276" w:lineRule="auto"/>
        <w:ind w:firstLine="708"/>
        <w:outlineLvl w:val="0"/>
        <w:rPr>
          <w:rFonts w:ascii="Bookman Old Style" w:eastAsia="Times New Roman" w:hAnsi="Bookman Old Style" w:cs="Arial"/>
          <w:sz w:val="24"/>
          <w:szCs w:val="24"/>
          <w:lang w:eastAsia="es-ES"/>
        </w:rPr>
      </w:pPr>
      <w:r w:rsidRPr="00313BF9">
        <w:rPr>
          <w:rFonts w:ascii="Bookman Old Style" w:eastAsia="Times New Roman" w:hAnsi="Bookman Old Style" w:cs="Arial"/>
          <w:sz w:val="24"/>
          <w:szCs w:val="24"/>
          <w:lang w:eastAsia="es-ES"/>
        </w:rPr>
        <w:t>(Aprobado en sesión de veintinueve de julio de  dos mil quince)</w:t>
      </w:r>
    </w:p>
    <w:p w:rsidR="00313BF9" w:rsidRDefault="00313BF9" w:rsidP="00C028BE">
      <w:pPr>
        <w:autoSpaceDE w:val="0"/>
        <w:autoSpaceDN w:val="0"/>
        <w:spacing w:after="0" w:line="360" w:lineRule="auto"/>
        <w:ind w:firstLine="708"/>
        <w:outlineLvl w:val="0"/>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outlineLvl w:val="0"/>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Bogotá, D. C., </w:t>
      </w:r>
      <w:r w:rsidR="00122585">
        <w:rPr>
          <w:rFonts w:ascii="Bookman Old Style" w:eastAsia="Times New Roman" w:hAnsi="Bookman Old Style" w:cs="Arial"/>
          <w:sz w:val="28"/>
          <w:szCs w:val="28"/>
          <w:lang w:eastAsia="es-ES"/>
        </w:rPr>
        <w:t>catorce (14) de diciembre de dos mil quince (2015).</w:t>
      </w:r>
    </w:p>
    <w:p w:rsidR="00C028BE" w:rsidRPr="00C028BE" w:rsidRDefault="00C028BE" w:rsidP="00313BF9">
      <w:pPr>
        <w:autoSpaceDE w:val="0"/>
        <w:autoSpaceDN w:val="0"/>
        <w:spacing w:after="0" w:line="360" w:lineRule="auto"/>
        <w:jc w:val="both"/>
        <w:outlineLvl w:val="0"/>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outlineLvl w:val="0"/>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Decide la Corte el recurso de casación que los demandantes </w:t>
      </w:r>
      <w:r w:rsidRPr="00C028BE">
        <w:rPr>
          <w:rFonts w:ascii="Bookman Old Style" w:eastAsia="Times New Roman" w:hAnsi="Bookman Old Style" w:cs="Arial"/>
          <w:caps/>
          <w:sz w:val="28"/>
          <w:szCs w:val="28"/>
          <w:lang w:eastAsia="es-ES"/>
        </w:rPr>
        <w:t xml:space="preserve">omar Hernando González pardo </w:t>
      </w:r>
      <w:r w:rsidRPr="00C028BE">
        <w:rPr>
          <w:rFonts w:ascii="Bookman Old Style" w:eastAsia="Times New Roman" w:hAnsi="Bookman Old Style" w:cs="Arial"/>
          <w:sz w:val="28"/>
          <w:szCs w:val="28"/>
          <w:lang w:eastAsia="es-ES"/>
        </w:rPr>
        <w:t xml:space="preserve">y </w:t>
      </w:r>
      <w:r w:rsidRPr="00C028BE">
        <w:rPr>
          <w:rFonts w:ascii="Bookman Old Style" w:eastAsia="Times New Roman" w:hAnsi="Bookman Old Style" w:cs="Arial"/>
          <w:caps/>
          <w:sz w:val="28"/>
          <w:szCs w:val="28"/>
          <w:lang w:eastAsia="es-ES"/>
        </w:rPr>
        <w:t xml:space="preserve">maría Lourdes oñate bello </w:t>
      </w:r>
      <w:r w:rsidRPr="00C028BE">
        <w:rPr>
          <w:rFonts w:ascii="Bookman Old Style" w:eastAsia="Times New Roman" w:hAnsi="Bookman Old Style" w:cs="Arial"/>
          <w:sz w:val="28"/>
          <w:szCs w:val="28"/>
          <w:lang w:eastAsia="es-ES"/>
        </w:rPr>
        <w:t xml:space="preserve">formularon contra la sentencia proferida el 9 de noviembre de 2012 por la Sala Civil del Tribunal Superior de Bogotá, dentro del proceso ordinario que promovieron frente a JAIME TORRES GONZÁLEZ y YUMNA SEFAIR SILVA. </w:t>
      </w:r>
    </w:p>
    <w:p w:rsidR="00C028BE" w:rsidRPr="00C028BE" w:rsidRDefault="00C028BE" w:rsidP="00C028BE">
      <w:pPr>
        <w:keepNext/>
        <w:autoSpaceDE w:val="0"/>
        <w:autoSpaceDN w:val="0"/>
        <w:spacing w:after="0" w:line="360" w:lineRule="auto"/>
        <w:jc w:val="center"/>
        <w:outlineLvl w:val="1"/>
        <w:rPr>
          <w:rFonts w:ascii="Bookman Old Style" w:eastAsia="Times New Roman" w:hAnsi="Bookman Old Style" w:cs="Arial"/>
          <w:b/>
          <w:bCs/>
          <w:sz w:val="28"/>
          <w:szCs w:val="28"/>
          <w:lang w:eastAsia="es-ES"/>
        </w:rPr>
      </w:pPr>
    </w:p>
    <w:p w:rsidR="00C028BE" w:rsidRPr="00C028BE" w:rsidRDefault="00C028BE" w:rsidP="00C028BE">
      <w:pPr>
        <w:keepNext/>
        <w:autoSpaceDE w:val="0"/>
        <w:autoSpaceDN w:val="0"/>
        <w:spacing w:after="0" w:line="360" w:lineRule="auto"/>
        <w:jc w:val="center"/>
        <w:outlineLvl w:val="1"/>
        <w:rPr>
          <w:rFonts w:ascii="Bookman Old Style" w:eastAsia="Times New Roman" w:hAnsi="Bookman Old Style" w:cs="Arial"/>
          <w:b/>
          <w:bCs/>
          <w:sz w:val="28"/>
          <w:szCs w:val="28"/>
          <w:lang w:eastAsia="es-ES"/>
        </w:rPr>
      </w:pPr>
      <w:r w:rsidRPr="00C028BE">
        <w:rPr>
          <w:rFonts w:ascii="Bookman Old Style" w:eastAsia="Times New Roman" w:hAnsi="Bookman Old Style" w:cs="Arial"/>
          <w:b/>
          <w:bCs/>
          <w:sz w:val="28"/>
          <w:szCs w:val="28"/>
          <w:lang w:eastAsia="es-ES"/>
        </w:rPr>
        <w:t>ANTECEDENTES</w:t>
      </w:r>
    </w:p>
    <w:p w:rsidR="00C028BE" w:rsidRPr="00C028BE" w:rsidRDefault="00C028BE" w:rsidP="00C028BE">
      <w:pPr>
        <w:keepNext/>
        <w:autoSpaceDE w:val="0"/>
        <w:autoSpaceDN w:val="0"/>
        <w:spacing w:after="0" w:line="360" w:lineRule="auto"/>
        <w:ind w:firstLine="1701"/>
        <w:jc w:val="both"/>
        <w:outlineLvl w:val="0"/>
        <w:rPr>
          <w:rFonts w:ascii="Bookman Old Style" w:eastAsia="Times New Roman" w:hAnsi="Bookman Old Style" w:cs="Arial"/>
          <w:sz w:val="28"/>
          <w:szCs w:val="28"/>
          <w:lang w:eastAsia="es-ES"/>
        </w:rPr>
      </w:pPr>
      <w:r w:rsidRPr="00C028BE">
        <w:rPr>
          <w:rFonts w:ascii="Bookman Old Style" w:eastAsia="Times New Roman" w:hAnsi="Bookman Old Style" w:cs="Arial"/>
          <w:b/>
          <w:bCs/>
          <w:sz w:val="28"/>
          <w:szCs w:val="28"/>
          <w:lang w:eastAsia="es-ES"/>
        </w:rPr>
        <w:tab/>
      </w:r>
      <w:r w:rsidRPr="00C028BE">
        <w:rPr>
          <w:rFonts w:ascii="Bookman Old Style" w:eastAsia="Times New Roman" w:hAnsi="Bookman Old Style" w:cs="Arial"/>
          <w:b/>
          <w:bCs/>
          <w:sz w:val="28"/>
          <w:szCs w:val="28"/>
          <w:lang w:eastAsia="es-ES"/>
        </w:rPr>
        <w:tab/>
      </w:r>
      <w:r w:rsidRPr="00C028BE">
        <w:rPr>
          <w:rFonts w:ascii="Bookman Old Style" w:eastAsia="Times New Roman" w:hAnsi="Bookman Old Style" w:cs="Arial"/>
          <w:sz w:val="28"/>
          <w:szCs w:val="28"/>
          <w:lang w:eastAsia="es-ES"/>
        </w:rPr>
        <w:tab/>
      </w:r>
      <w:r w:rsidRPr="00C028BE">
        <w:rPr>
          <w:rFonts w:ascii="Bookman Old Style" w:eastAsia="Times New Roman" w:hAnsi="Bookman Old Style" w:cs="Arial"/>
          <w:sz w:val="28"/>
          <w:szCs w:val="28"/>
          <w:lang w:eastAsia="es-ES"/>
        </w:rPr>
        <w:tab/>
      </w:r>
      <w:r w:rsidRPr="00C028BE">
        <w:rPr>
          <w:rFonts w:ascii="Bookman Old Style" w:eastAsia="Times New Roman" w:hAnsi="Bookman Old Style" w:cs="Arial"/>
          <w:sz w:val="28"/>
          <w:szCs w:val="28"/>
          <w:lang w:eastAsia="es-ES"/>
        </w:rPr>
        <w:tab/>
      </w:r>
      <w:r w:rsidRPr="00C028BE">
        <w:rPr>
          <w:rFonts w:ascii="Bookman Old Style" w:eastAsia="Times New Roman" w:hAnsi="Bookman Old Style" w:cs="Arial"/>
          <w:sz w:val="28"/>
          <w:szCs w:val="28"/>
          <w:lang w:eastAsia="es-ES"/>
        </w:rPr>
        <w:tab/>
      </w:r>
    </w:p>
    <w:p w:rsidR="00C028BE" w:rsidRPr="00C028BE" w:rsidRDefault="00C028BE" w:rsidP="00C028BE">
      <w:pPr>
        <w:keepNext/>
        <w:autoSpaceDE w:val="0"/>
        <w:autoSpaceDN w:val="0"/>
        <w:spacing w:after="0" w:line="360" w:lineRule="auto"/>
        <w:ind w:firstLine="709"/>
        <w:jc w:val="both"/>
        <w:outlineLvl w:val="0"/>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1. Se solicitó esencialmente, declarar la nulidad absoluta de las escrituras públicas 3491 de 18 de junio de 2008 y 847 del 20 de febrero de 2009, ambas de la Notaría 45 de Bogotá, por no reunir los documentos necesarios que soportan técnica </w:t>
      </w:r>
      <w:r w:rsidRPr="00C028BE">
        <w:rPr>
          <w:rFonts w:ascii="Bookman Old Style" w:eastAsia="Times New Roman" w:hAnsi="Bookman Old Style" w:cs="Arial"/>
          <w:sz w:val="28"/>
          <w:szCs w:val="28"/>
          <w:lang w:eastAsia="es-ES"/>
        </w:rPr>
        <w:lastRenderedPageBreak/>
        <w:t>y jurídicamente los actos suscritos, además de tener objeto y causa ilícita.</w:t>
      </w:r>
    </w:p>
    <w:p w:rsidR="00C028BE" w:rsidRPr="00C028BE" w:rsidRDefault="00C028BE" w:rsidP="00C028BE">
      <w:pPr>
        <w:autoSpaceDE w:val="0"/>
        <w:autoSpaceDN w:val="0"/>
        <w:spacing w:after="0" w:line="240" w:lineRule="auto"/>
        <w:rPr>
          <w:rFonts w:ascii="Times New Roman" w:eastAsia="Times New Roman" w:hAnsi="Times New Roman" w:cs="Times New Roman"/>
          <w:sz w:val="20"/>
          <w:szCs w:val="20"/>
          <w:lang w:eastAsia="es-ES"/>
        </w:rPr>
      </w:pPr>
    </w:p>
    <w:p w:rsidR="00C028BE" w:rsidRPr="00C028BE" w:rsidRDefault="00C028BE" w:rsidP="00122585">
      <w:pPr>
        <w:keepNext/>
        <w:autoSpaceDE w:val="0"/>
        <w:autoSpaceDN w:val="0"/>
        <w:spacing w:after="0" w:line="360" w:lineRule="auto"/>
        <w:ind w:firstLine="708"/>
        <w:jc w:val="both"/>
        <w:outlineLvl w:val="0"/>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Pidieron consecuencialmente, oficiar a la Notaría 45 del Círculo de Bogotá para darle publicidad a la sentencia; al Instituto Geográfico Agustín Codazzi para que disponga lo que corresponda respecto de la Resolución de 30 de julio de 2008, “</w:t>
      </w:r>
      <w:r w:rsidRPr="00C028BE">
        <w:rPr>
          <w:rFonts w:ascii="Bookman Old Style" w:eastAsia="Times New Roman" w:hAnsi="Bookman Old Style" w:cs="Arial"/>
          <w:i/>
          <w:sz w:val="28"/>
          <w:szCs w:val="28"/>
          <w:lang w:eastAsia="es-ES"/>
        </w:rPr>
        <w:t>por la cual se modificó la plancha 209</w:t>
      </w:r>
      <w:r w:rsidRPr="00C028BE">
        <w:rPr>
          <w:rFonts w:ascii="Bookman Old Style" w:eastAsia="Times New Roman" w:hAnsi="Bookman Old Style" w:cs="Arial"/>
          <w:sz w:val="28"/>
          <w:szCs w:val="28"/>
          <w:lang w:eastAsia="es-ES"/>
        </w:rPr>
        <w:t>”, proferida con base en los dos instrumentos cuya nulidad se pretende; y a la Oficina de Registro de Instrumentos Públicos de Bogotá —Zona Norte—, a efectos de que cancele en el folio de matrícula inmobiliaria No 50N-20368431 las escrituras mencionadas.</w:t>
      </w:r>
    </w:p>
    <w:p w:rsidR="00C028BE" w:rsidRPr="00C028BE" w:rsidRDefault="00C028BE" w:rsidP="00C028BE">
      <w:pPr>
        <w:autoSpaceDE w:val="0"/>
        <w:autoSpaceDN w:val="0"/>
        <w:spacing w:after="0" w:line="240" w:lineRule="auto"/>
        <w:rPr>
          <w:rFonts w:ascii="Times New Roman" w:eastAsia="Times New Roman" w:hAnsi="Times New Roman" w:cs="Times New Roman"/>
          <w:sz w:val="20"/>
          <w:szCs w:val="20"/>
          <w:lang w:eastAsia="es-ES"/>
        </w:rPr>
      </w:pPr>
    </w:p>
    <w:p w:rsidR="00C028BE" w:rsidRPr="00C028BE" w:rsidRDefault="00C028BE" w:rsidP="00C028BE">
      <w:pPr>
        <w:autoSpaceDE w:val="0"/>
        <w:autoSpaceDN w:val="0"/>
        <w:spacing w:after="0" w:line="240" w:lineRule="auto"/>
        <w:rPr>
          <w:rFonts w:ascii="Times New Roman" w:eastAsia="Times New Roman" w:hAnsi="Times New Roman" w:cs="Times New Roman"/>
          <w:sz w:val="20"/>
          <w:szCs w:val="20"/>
          <w:lang w:eastAsia="es-ES"/>
        </w:rPr>
      </w:pPr>
    </w:p>
    <w:p w:rsidR="00C028BE" w:rsidRPr="00C028BE" w:rsidRDefault="00C028BE" w:rsidP="00C028BE">
      <w:pPr>
        <w:autoSpaceDE w:val="0"/>
        <w:autoSpaceDN w:val="0"/>
        <w:spacing w:after="0" w:line="360" w:lineRule="auto"/>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ab/>
        <w:t>2.  Son causa de su petición los hechos que a continuación se compendian:</w:t>
      </w:r>
    </w:p>
    <w:p w:rsidR="00C028BE" w:rsidRPr="00C028BE" w:rsidRDefault="00C028BE" w:rsidP="00C028BE">
      <w:pPr>
        <w:autoSpaceDE w:val="0"/>
        <w:autoSpaceDN w:val="0"/>
        <w:spacing w:after="0" w:line="360" w:lineRule="auto"/>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ab/>
        <w:t>Compraron el predio LOURDES, a la señora CECILIA VARGAS el 15 de abril de 1996, inmueble que se derivó del bien LA COMPAÑÍA, fraccionado en el trabajo de partición con ocasión de la sucesión de MARÍA FLORIDA ROZO, adjudicándoselo a JOSÉ IGNACIO BERNAL.</w:t>
      </w:r>
    </w:p>
    <w:p w:rsidR="00C028BE" w:rsidRPr="00C028BE" w:rsidRDefault="00C028BE" w:rsidP="00C028BE">
      <w:pPr>
        <w:autoSpaceDE w:val="0"/>
        <w:autoSpaceDN w:val="0"/>
        <w:spacing w:after="0" w:line="360" w:lineRule="auto"/>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Los señores JAIME TORRES GONZÁLEZ PARDO y YUMNA SEFAIR SILVA, adquirieron la heredad conocida como EL ENCERRADO, a través de contrato de permuta celebrada con SAMUEL RAMÍREZ POVEDA y otros, contenido en el instrumento público 2369 de 30 de julio de 2005, especificándose que tiene un área aproximada de 42 hectáreas.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lastRenderedPageBreak/>
        <w:t>El 13 de febrero de 2007, los aquí demandados iniciaron proceso de deslinde y amojonamiento contra ellos, para dirimir el lindero entre las fincas EL ENCERRADO y  LOURDES; actuación que finalizó por conciliación del 15 de abril de 2008, protocolizada en la escritura 1466 de la Notaría 32 de Bogotá.</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Con desconocimiento del acuerdo y sin ningún fundamento técnico los opositores variaron el área del inmueble EL ENCERRADO de 42 a 54 hectáreas y 4.160 metros cuadrados; es decir que tuvo un “</w:t>
      </w:r>
      <w:r w:rsidRPr="00C028BE">
        <w:rPr>
          <w:rFonts w:ascii="Bookman Old Style" w:eastAsia="Times New Roman" w:hAnsi="Bookman Old Style" w:cs="Arial"/>
          <w:i/>
          <w:sz w:val="28"/>
          <w:szCs w:val="28"/>
          <w:lang w:eastAsia="es-ES"/>
        </w:rPr>
        <w:t>incremento de treinta y cuatro punto treinta y dos por ciento (34.32%)</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Informaron que el sustento del “</w:t>
      </w:r>
      <w:r w:rsidRPr="00C028BE">
        <w:rPr>
          <w:rFonts w:ascii="Bookman Old Style" w:eastAsia="Times New Roman" w:hAnsi="Bookman Old Style" w:cs="Arial"/>
          <w:i/>
          <w:sz w:val="28"/>
          <w:szCs w:val="28"/>
          <w:lang w:eastAsia="es-ES"/>
        </w:rPr>
        <w:t>acrecentamiento</w:t>
      </w:r>
      <w:r w:rsidRPr="00C028BE">
        <w:rPr>
          <w:rFonts w:ascii="Bookman Old Style" w:eastAsia="Times New Roman" w:hAnsi="Bookman Old Style" w:cs="Arial"/>
          <w:sz w:val="28"/>
          <w:szCs w:val="28"/>
          <w:lang w:eastAsia="es-ES"/>
        </w:rPr>
        <w:t>” fue el englobe de las fincas LA ÑAPA y LOS LAURELES, tras efectuar una simple operación aritmética desprovista de justificación jurídica y racional, a más que contradice los títulos de adquisición de los mismos otorgantes y de sus antecesores, “</w:t>
      </w:r>
      <w:r w:rsidRPr="00C028BE">
        <w:rPr>
          <w:rFonts w:ascii="Bookman Old Style" w:eastAsia="Times New Roman" w:hAnsi="Bookman Old Style" w:cs="Arial"/>
          <w:i/>
          <w:sz w:val="28"/>
          <w:szCs w:val="28"/>
          <w:lang w:eastAsia="es-ES"/>
        </w:rPr>
        <w:t>con el agravante de que ello sirvió de soporte a la variación unilateral de linderos obtenida del IGAC en la Resolución cuya revocatoria se solicita, a costa del predio LOURDES de propiedad</w:t>
      </w:r>
      <w:r w:rsidRPr="00C028BE">
        <w:rPr>
          <w:rFonts w:ascii="Bookman Old Style" w:eastAsia="Times New Roman" w:hAnsi="Bookman Old Style" w:cs="Arial"/>
          <w:sz w:val="28"/>
          <w:szCs w:val="28"/>
          <w:lang w:eastAsia="es-ES"/>
        </w:rPr>
        <w:t>” de los convocantes.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Pese a que el instrumento público 3491 carece del apoyo necesario, “</w:t>
      </w:r>
      <w:r w:rsidRPr="00C028BE">
        <w:rPr>
          <w:rFonts w:ascii="Bookman Old Style" w:eastAsia="Times New Roman" w:hAnsi="Bookman Old Style" w:cs="Arial"/>
          <w:i/>
          <w:sz w:val="28"/>
          <w:szCs w:val="28"/>
          <w:lang w:eastAsia="es-ES"/>
        </w:rPr>
        <w:t>la Oficina de Registro de Instrumentos Públicos de Bogotá procede con base en ella a modificar el área del predio EL ENCERRADO, y la inscribe</w:t>
      </w:r>
      <w:r w:rsidRPr="00C028BE">
        <w:rPr>
          <w:rFonts w:ascii="Bookman Old Style" w:eastAsia="Times New Roman" w:hAnsi="Bookman Old Style" w:cs="Arial"/>
          <w:sz w:val="28"/>
          <w:szCs w:val="28"/>
          <w:lang w:eastAsia="es-ES"/>
        </w:rPr>
        <w:t>” en el certificado de libertad No 50N-20368431, consignando “</w:t>
      </w:r>
      <w:r w:rsidRPr="00C028BE">
        <w:rPr>
          <w:rFonts w:ascii="Bookman Old Style" w:eastAsia="Times New Roman" w:hAnsi="Bookman Old Style" w:cs="Arial"/>
          <w:i/>
          <w:sz w:val="28"/>
          <w:szCs w:val="28"/>
          <w:lang w:eastAsia="es-ES"/>
        </w:rPr>
        <w:t>el irregular incremento de área en el aparte DESCRIPCIÓN CABIDA Y LINDEROS del mismo. (…)”;</w:t>
      </w:r>
      <w:r w:rsidRPr="00C028BE">
        <w:rPr>
          <w:rFonts w:ascii="Bookman Old Style" w:eastAsia="Times New Roman" w:hAnsi="Bookman Old Style" w:cs="Arial"/>
          <w:sz w:val="28"/>
          <w:szCs w:val="28"/>
          <w:lang w:eastAsia="es-ES"/>
        </w:rPr>
        <w:t xml:space="preserve"> aunado a lo anterior, mediante escritura 847 de la </w:t>
      </w:r>
      <w:r w:rsidRPr="00C028BE">
        <w:rPr>
          <w:rFonts w:ascii="Bookman Old Style" w:eastAsia="Times New Roman" w:hAnsi="Bookman Old Style" w:cs="Arial"/>
          <w:sz w:val="28"/>
          <w:szCs w:val="28"/>
          <w:lang w:eastAsia="es-ES"/>
        </w:rPr>
        <w:lastRenderedPageBreak/>
        <w:t>Notaría 45 de Bogotá los demandados apoyados en la apócrifa escritura citada procedieron a determinar y actualizar el área total del predio EL ENCERRADO, obteniendo del Instituto Geográfico Agustín Codazzi, quien obró de buena fe, que accediera a la ilegítima petición, reduciendo el área de la finca que pertenece a los demandantes conocida como LOURDES, en 16 hectáreas y 1800 metros cuadrados.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Por la vía administrativa se solicitó la revocatoria directa de la Resolución No 25-326-0034-2008, pero la Dirección Territorial de Cundinamarca del IGAC “</w:t>
      </w:r>
      <w:r w:rsidRPr="00C028BE">
        <w:rPr>
          <w:rFonts w:ascii="Bookman Old Style" w:eastAsia="Times New Roman" w:hAnsi="Bookman Old Style" w:cs="Arial"/>
          <w:i/>
          <w:sz w:val="28"/>
          <w:szCs w:val="28"/>
          <w:lang w:eastAsia="es-ES"/>
        </w:rPr>
        <w:t>se abstuvo de revocar la Resolución atacada argumentando que no reunía los requisitos procesales necesarios para la formulación de la acción</w:t>
      </w:r>
      <w:r w:rsidRPr="00C028BE">
        <w:rPr>
          <w:rFonts w:ascii="Bookman Old Style" w:eastAsia="Times New Roman" w:hAnsi="Bookman Old Style" w:cs="Arial"/>
          <w:sz w:val="28"/>
          <w:szCs w:val="28"/>
          <w:lang w:eastAsia="es-ES"/>
        </w:rPr>
        <w:t>”, vulnerando con esa decisión, los derechos de propiedad de los actores sobre el predio mencionado, toda vez que, “</w:t>
      </w:r>
      <w:r w:rsidRPr="00C028BE">
        <w:rPr>
          <w:rFonts w:ascii="Bookman Old Style" w:eastAsia="Times New Roman" w:hAnsi="Bookman Old Style" w:cs="Arial"/>
          <w:i/>
          <w:sz w:val="28"/>
          <w:szCs w:val="28"/>
          <w:lang w:eastAsia="es-ES"/>
        </w:rPr>
        <w:t>catastralmente ha quedado disminuido en poco menos de un cincuenta por ciento (50%), sin que exista soporte jurídico que así lo permita</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Finalmente la Procuraduría General de la Nación declaró fallida la audiencia de conciliación como requisito de procedibilidad, según consta en acta 8833.</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C028BE">
        <w:rPr>
          <w:rFonts w:ascii="Bookman Old Style" w:eastAsia="Times New Roman" w:hAnsi="Bookman Old Style" w:cs="Arial"/>
          <w:sz w:val="28"/>
          <w:szCs w:val="28"/>
          <w:lang w:eastAsia="es-ES"/>
        </w:rPr>
        <w:t xml:space="preserve"> 3. Admitida la demanda por auto de 17 de marzo de 2011, el extremo pasivo la contestó oponiéndose a la totalidad de las súplicas y proponiendo las excepciones de mérito que denominó </w:t>
      </w:r>
      <w:r w:rsidRPr="00C028BE">
        <w:rPr>
          <w:rFonts w:ascii="Bookman Old Style" w:eastAsia="Times New Roman" w:hAnsi="Bookman Old Style" w:cs="Arial"/>
          <w:i/>
          <w:sz w:val="28"/>
          <w:szCs w:val="28"/>
          <w:lang w:eastAsia="es-ES"/>
        </w:rPr>
        <w:t xml:space="preserve">“cosa juzgada, falta de legitimación por pasiva, prescripción del derecho, no comprender la demanda a todos los litisconsortes necesarios, prejudicialidad o pleito pendiente, </w:t>
      </w:r>
      <w:r w:rsidRPr="00C028BE">
        <w:rPr>
          <w:rFonts w:ascii="Bookman Old Style" w:eastAsia="Times New Roman" w:hAnsi="Bookman Old Style" w:cs="Arial"/>
          <w:i/>
          <w:sz w:val="28"/>
          <w:szCs w:val="28"/>
          <w:lang w:eastAsia="es-ES"/>
        </w:rPr>
        <w:lastRenderedPageBreak/>
        <w:t>extralimitación de las facultades otorgadas al apoderado, temeridad o mala fe y la genérica”.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4. A la primera instancia, luego de agotarse las formas propias del proceso ordinario, puso fin la sentencia de 8 de junio de 2012 dictada por el Juzgado Octavo Civil del Circuito de Descongestión de Bogotá, que denegó la totalidad de las pretensiones, al considerar que “</w:t>
      </w:r>
      <w:r w:rsidRPr="00C028BE">
        <w:rPr>
          <w:rFonts w:ascii="Bookman Old Style" w:eastAsia="Times New Roman" w:hAnsi="Bookman Old Style" w:cs="Arial"/>
          <w:i/>
          <w:sz w:val="28"/>
          <w:szCs w:val="28"/>
          <w:lang w:eastAsia="es-ES"/>
        </w:rPr>
        <w:t>de la documentación relacionada se desprende en forma clara que ciertamente se cumplieron a cabalidad y en su totalidad cada uno de los ordenamientos establecidos para la protocolización de dichas escrituras, así como para su registro y anotación en catastro e instrumentos públicos</w:t>
      </w:r>
      <w:r w:rsidRPr="00C028BE">
        <w:rPr>
          <w:rFonts w:ascii="Bookman Old Style" w:eastAsia="Times New Roman" w:hAnsi="Bookman Old Style" w:cs="Arial"/>
          <w:sz w:val="28"/>
          <w:szCs w:val="28"/>
          <w:lang w:eastAsia="es-ES"/>
        </w:rPr>
        <w:t>”, además, dijo, no se demostró que en los actos jurídicos de cuya nulidad se duelen existiera causa u objeto ilícito; y, como aquella no procede, lo propio ocurre con la declaración de perjuicios rogada en el libelo.</w:t>
      </w:r>
    </w:p>
    <w:p w:rsidR="00C028BE" w:rsidRPr="00C028BE" w:rsidRDefault="00C028BE" w:rsidP="00C028BE">
      <w:pPr>
        <w:autoSpaceDE w:val="0"/>
        <w:autoSpaceDN w:val="0"/>
        <w:spacing w:after="0" w:line="360" w:lineRule="auto"/>
        <w:ind w:firstLine="1410"/>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Frente al descrito proveído los promotores de la acción apelaron, argumentando básicamente que no se tuvieron en cuenta todos los medios de convicción recaudados, tanto documentales como testimoniales; providencia que fue confirmada en oportunidad por el superior.</w:t>
      </w:r>
    </w:p>
    <w:p w:rsidR="00C028BE" w:rsidRPr="00C028BE" w:rsidRDefault="00C028BE" w:rsidP="00C028BE">
      <w:pPr>
        <w:autoSpaceDE w:val="0"/>
        <w:autoSpaceDN w:val="0"/>
        <w:spacing w:after="0" w:line="240" w:lineRule="auto"/>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240" w:lineRule="auto"/>
        <w:rPr>
          <w:rFonts w:ascii="Bookman Old Style" w:eastAsia="Times New Roman" w:hAnsi="Bookman Old Style" w:cs="Arial"/>
          <w:sz w:val="28"/>
          <w:szCs w:val="28"/>
          <w:lang w:eastAsia="es-ES"/>
        </w:rPr>
      </w:pPr>
    </w:p>
    <w:p w:rsidR="00C028BE" w:rsidRPr="00C028BE" w:rsidRDefault="00C028BE" w:rsidP="00C028BE">
      <w:pPr>
        <w:keepNext/>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C028BE">
        <w:rPr>
          <w:rFonts w:ascii="Bookman Old Style" w:eastAsia="Times New Roman" w:hAnsi="Bookman Old Style" w:cs="Arial"/>
          <w:b/>
          <w:bCs/>
          <w:sz w:val="28"/>
          <w:szCs w:val="28"/>
          <w:lang w:eastAsia="es-ES"/>
        </w:rPr>
        <w:t>LA SENTENCIA DEL TRIBUNAL</w:t>
      </w:r>
    </w:p>
    <w:p w:rsidR="00C028BE" w:rsidRPr="00C028BE" w:rsidRDefault="00C028BE" w:rsidP="00C028BE">
      <w:pPr>
        <w:autoSpaceDE w:val="0"/>
        <w:autoSpaceDN w:val="0"/>
        <w:spacing w:after="0" w:line="240" w:lineRule="auto"/>
        <w:rPr>
          <w:rFonts w:ascii="Times New Roman" w:eastAsia="Times New Roman" w:hAnsi="Times New Roman" w:cs="Times New Roman"/>
          <w:sz w:val="20"/>
          <w:szCs w:val="20"/>
          <w:lang w:eastAsia="es-ES"/>
        </w:rPr>
      </w:pPr>
    </w:p>
    <w:p w:rsidR="00C028BE" w:rsidRPr="00C028BE" w:rsidRDefault="00C028BE" w:rsidP="00C028BE">
      <w:pPr>
        <w:autoSpaceDE w:val="0"/>
        <w:autoSpaceDN w:val="0"/>
        <w:spacing w:after="0" w:line="240" w:lineRule="auto"/>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Luego de destacar la concurrencia de los presupuestos procesales y la ausencia de vicios que pudieran dar al traste con lo actuado, anunció que debido a que las súplicas buscan la declaratoria de nulidad de las escrituras 3491 y 847 de junio de 2008 y febrero de 2009 respectivamente, “</w:t>
      </w:r>
      <w:r w:rsidRPr="00C028BE">
        <w:rPr>
          <w:rFonts w:ascii="Bookman Old Style" w:eastAsia="Times New Roman" w:hAnsi="Bookman Old Style" w:cs="Arial"/>
          <w:i/>
          <w:sz w:val="28"/>
          <w:szCs w:val="28"/>
          <w:lang w:eastAsia="es-ES"/>
        </w:rPr>
        <w:t xml:space="preserve">se torna </w:t>
      </w:r>
      <w:r w:rsidRPr="00C028BE">
        <w:rPr>
          <w:rFonts w:ascii="Bookman Old Style" w:eastAsia="Times New Roman" w:hAnsi="Bookman Old Style" w:cs="Arial"/>
          <w:i/>
          <w:sz w:val="28"/>
          <w:szCs w:val="28"/>
          <w:lang w:eastAsia="es-ES"/>
        </w:rPr>
        <w:lastRenderedPageBreak/>
        <w:t>imperioso ahondar en el estudio de las referidas nulidades, y de allí esclarecer si los instrumentos atacados están viciados de nulidad o no</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Se refirió a ese instituto merced a lo prevenido en el canon 1740 del Código Civil y señaló que la doctrina lo define como el “</w:t>
      </w:r>
      <w:r w:rsidRPr="00C028BE">
        <w:rPr>
          <w:rFonts w:ascii="Bookman Old Style" w:eastAsia="Times New Roman" w:hAnsi="Bookman Old Style" w:cs="Arial"/>
          <w:i/>
          <w:sz w:val="28"/>
          <w:szCs w:val="28"/>
          <w:lang w:eastAsia="es-ES"/>
        </w:rPr>
        <w:t>castigo o sanción civil que se impone por la omisión de los requisitos que la ley considera indispensables para la validez de los actos o contratos</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Recordó su clasificación en absolutas y relativas; y tras relacionar los elementos ínsitos a cada una de ellas, destacó los aspectos en que se diferencian exponiendo lo siguiente: (i) la acción de nulidad absoluta pertenece a todo interesado; en cambio la relativa solo puede solicitarla la persona a quien la ley ha querido proteger; (ii) la nulidad absoluta no se convalida, mientras que el acto que da lugar a la nulidad relativa admite saneamiento; (iii) la primera, en materia de prescripción, sigue las reglas del derecho común, esto es la acción expira a los 20 años, reducido a la mitad por la ley 791 de 2002; la segunda, por su parte, en 4 años.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Seguidamente dijo que ambas permiten a las partes reclamar la restitución de sus prestaciones; y, en su caso, daños y perjuicios, a más de obrar retroactivamente.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Apuntó otras connotaciones coincidentes a los dos tipos de sanciones y memoró su regulación en el Estatuto Mercantil, con especial énfasis en las causales de nulidad absoluta previstas en el canon 899 de esa obra, lo mismo que </w:t>
      </w:r>
      <w:r w:rsidRPr="00C028BE">
        <w:rPr>
          <w:rFonts w:ascii="Bookman Old Style" w:eastAsia="Times New Roman" w:hAnsi="Bookman Old Style" w:cs="Arial"/>
          <w:sz w:val="28"/>
          <w:szCs w:val="28"/>
          <w:lang w:eastAsia="es-ES"/>
        </w:rPr>
        <w:lastRenderedPageBreak/>
        <w:t>en el instituto de la anulación del precepto 900 y la remisión al Código Civil a que alude el artículo 822 del C. de Co.</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Cuando abordó el caso específico señaló, primeramente, “</w:t>
      </w:r>
      <w:r w:rsidRPr="00C028BE">
        <w:rPr>
          <w:rFonts w:ascii="Bookman Old Style" w:eastAsia="Times New Roman" w:hAnsi="Bookman Old Style" w:cs="Arial"/>
          <w:i/>
          <w:sz w:val="28"/>
          <w:szCs w:val="28"/>
          <w:lang w:eastAsia="es-ES"/>
        </w:rPr>
        <w:t>que no se configura ninguna de las causales de nulidad del acto jurídico, tal como alega el inconforme, las que como se dijo, están taxativamente contempladas en la norma, por lo tanto se advierte la improcedencia de la acción adelantada</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Expresó que en las escrituras atacadas de nulidad absoluta, “</w:t>
      </w:r>
      <w:r w:rsidRPr="00C028BE">
        <w:rPr>
          <w:rFonts w:ascii="Bookman Old Style" w:eastAsia="Times New Roman" w:hAnsi="Bookman Old Style" w:cs="Arial"/>
          <w:i/>
          <w:sz w:val="28"/>
          <w:szCs w:val="28"/>
          <w:lang w:eastAsia="es-ES"/>
        </w:rPr>
        <w:t>no se colige una modificación de los linderos del bien denominado EL ENCERRADO, pues es evidente que (…) si bien no estaban específicamente delimitados, si estaban determinados y en todo caso eran determinables</w:t>
      </w:r>
      <w:r w:rsidRPr="00C028BE">
        <w:rPr>
          <w:rFonts w:ascii="Bookman Old Style" w:eastAsia="Times New Roman" w:hAnsi="Bookman Old Style" w:cs="Arial"/>
          <w:sz w:val="28"/>
          <w:szCs w:val="28"/>
          <w:lang w:eastAsia="es-ES"/>
        </w:rPr>
        <w:t>”, gracias a la decisión del Juzgado Sexto de Familia de Bogotá de 12 de diciembre de 1995, que aclara y adiciona la sentencia aprobatoria de la partición dentro de la sucesión del causante LEOPOLDO POVEDA GALÁN, providencia de la que se puede establecer que los linderos del inmueble “</w:t>
      </w:r>
      <w:r w:rsidRPr="00C028BE">
        <w:rPr>
          <w:rFonts w:ascii="Bookman Old Style" w:eastAsia="Times New Roman" w:hAnsi="Bookman Old Style" w:cs="Arial"/>
          <w:i/>
          <w:sz w:val="28"/>
          <w:szCs w:val="28"/>
          <w:lang w:eastAsia="es-ES"/>
        </w:rPr>
        <w:t>EL ENCIERRO (sic) estaban llamados a acrecer</w:t>
      </w:r>
      <w:r w:rsidRPr="00C028BE">
        <w:rPr>
          <w:rFonts w:ascii="Bookman Old Style" w:eastAsia="Times New Roman" w:hAnsi="Bookman Old Style" w:cs="Arial"/>
          <w:sz w:val="28"/>
          <w:szCs w:val="28"/>
          <w:lang w:eastAsia="es-ES"/>
        </w:rPr>
        <w:t>”, dado que hacían parte del mismo LA ÑAPA y LOS LAURELES, “</w:t>
      </w:r>
      <w:r w:rsidRPr="00C028BE">
        <w:rPr>
          <w:rFonts w:ascii="Bookman Old Style" w:eastAsia="Times New Roman" w:hAnsi="Bookman Old Style" w:cs="Arial"/>
          <w:i/>
          <w:sz w:val="28"/>
          <w:szCs w:val="28"/>
          <w:lang w:eastAsia="es-ES"/>
        </w:rPr>
        <w:t>los que por tener folios independientes, pero que serían cancelados, contaban con linderos definidos en cuanto a su extensión y ubicación, que solamente debían tenerse por integrados al bien de los demandados</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Es decir, que de tiempo atrás, con base en el mandato judicial “</w:t>
      </w:r>
      <w:r w:rsidRPr="00C028BE">
        <w:rPr>
          <w:rFonts w:ascii="Bookman Old Style" w:eastAsia="Times New Roman" w:hAnsi="Bookman Old Style" w:cs="Arial"/>
          <w:i/>
          <w:sz w:val="28"/>
          <w:szCs w:val="28"/>
          <w:lang w:eastAsia="es-ES"/>
        </w:rPr>
        <w:t>estaba determinada la alinderación del bien denominado EL ENCIERRO (sic)</w:t>
      </w:r>
      <w:r w:rsidRPr="00C028BE">
        <w:rPr>
          <w:rFonts w:ascii="Bookman Old Style" w:eastAsia="Times New Roman" w:hAnsi="Bookman Old Style" w:cs="Arial"/>
          <w:sz w:val="28"/>
          <w:szCs w:val="28"/>
          <w:lang w:eastAsia="es-ES"/>
        </w:rPr>
        <w:t xml:space="preserve">” sin que sufriera </w:t>
      </w:r>
      <w:r w:rsidRPr="00C028BE">
        <w:rPr>
          <w:rFonts w:ascii="Bookman Old Style" w:eastAsia="Times New Roman" w:hAnsi="Bookman Old Style" w:cs="Arial"/>
          <w:sz w:val="28"/>
          <w:szCs w:val="28"/>
          <w:lang w:eastAsia="es-ES"/>
        </w:rPr>
        <w:lastRenderedPageBreak/>
        <w:t>modificaciones con el otorgamiento de las escrituras a las que se les atribuye el vicio.</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Manifestó que lo anterior es validado, porque en la escritura 3491, según dimana de la estipulación tercera, contrario a lo planteado por los demandantes, “</w:t>
      </w:r>
      <w:r w:rsidRPr="00C028BE">
        <w:rPr>
          <w:rFonts w:ascii="Bookman Old Style" w:eastAsia="Times New Roman" w:hAnsi="Bookman Old Style" w:cs="Arial"/>
          <w:i/>
          <w:sz w:val="28"/>
          <w:szCs w:val="28"/>
          <w:lang w:eastAsia="es-ES"/>
        </w:rPr>
        <w:t>simplemente se está haciendo claridad respecto del área, sin que esta aumente o disminuya</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Arguyó, que la Oficina de Instrumentos Públicos de Bogotá —zona norte—, desechó la impugnación que presentaran los actores contra la inscripción de la escritura 3491 de 2008 en el certificado de libertad del predio EL ENCERRADO, lo que revela que al otorgarla, “</w:t>
      </w:r>
      <w:r w:rsidRPr="00C028BE">
        <w:rPr>
          <w:rFonts w:ascii="Bookman Old Style" w:eastAsia="Times New Roman" w:hAnsi="Bookman Old Style" w:cs="Arial"/>
          <w:i/>
          <w:sz w:val="28"/>
          <w:szCs w:val="28"/>
          <w:lang w:eastAsia="es-ES"/>
        </w:rPr>
        <w:t>no se pasaron por alto normas legales, y contrario sensu, se observaron en su integridad, por lo que mereció ser registrada en el folio de matrícula respectivo”</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También señaló, que quedan “</w:t>
      </w:r>
      <w:r w:rsidRPr="00C028BE">
        <w:rPr>
          <w:rFonts w:ascii="Bookman Old Style" w:eastAsia="Times New Roman" w:hAnsi="Bookman Old Style" w:cs="Arial"/>
          <w:i/>
          <w:sz w:val="28"/>
          <w:szCs w:val="28"/>
          <w:lang w:eastAsia="es-ES"/>
        </w:rPr>
        <w:t>abatidas</w:t>
      </w:r>
      <w:r w:rsidRPr="00C028BE">
        <w:rPr>
          <w:rFonts w:ascii="Bookman Old Style" w:eastAsia="Times New Roman" w:hAnsi="Bookman Old Style" w:cs="Arial"/>
          <w:sz w:val="28"/>
          <w:szCs w:val="28"/>
          <w:lang w:eastAsia="es-ES"/>
        </w:rPr>
        <w:t>” las súplicas del libelo y de la alzada, por cuanto que, “</w:t>
      </w:r>
      <w:r w:rsidRPr="00C028BE">
        <w:rPr>
          <w:rFonts w:ascii="Bookman Old Style" w:eastAsia="Times New Roman" w:hAnsi="Bookman Old Style" w:cs="Arial"/>
          <w:i/>
          <w:sz w:val="28"/>
          <w:szCs w:val="28"/>
          <w:lang w:eastAsia="es-ES"/>
        </w:rPr>
        <w:t>de las documentales militantes a folios 78 a 93, correspondientes a la Resolución No 25-000-0130-000 del 16 de julio de 2009, emitida por la JEFA DE ÁREA DE CONSERVACIÓN DE LA DIRECCIÓN TERRITORIAL CUNDINAMARCA DEL INSTITUTO GEOGRÁFICO AGUSTÍN CODAZZI en la cual se expone con nitidez, la procedencia de la rectificación del área del inmueble denominado EL ENCERRADO</w:t>
      </w:r>
      <w:r w:rsidRPr="00C028BE">
        <w:rPr>
          <w:rFonts w:ascii="Bookman Old Style" w:eastAsia="Times New Roman" w:hAnsi="Bookman Old Style" w:cs="Arial"/>
          <w:sz w:val="28"/>
          <w:szCs w:val="28"/>
          <w:lang w:eastAsia="es-ES"/>
        </w:rPr>
        <w:t>” se observa que se dictó con fundamento en la providencia del Juzgado Sexto de Familia de Bogotá, “</w:t>
      </w:r>
      <w:r w:rsidRPr="00C028BE">
        <w:rPr>
          <w:rFonts w:ascii="Bookman Old Style" w:eastAsia="Times New Roman" w:hAnsi="Bookman Old Style" w:cs="Arial"/>
          <w:i/>
          <w:sz w:val="28"/>
          <w:szCs w:val="28"/>
          <w:lang w:eastAsia="es-ES"/>
        </w:rPr>
        <w:t>lo que brinda un sólido pilar a la intención de los demandados para efectuar la aclaración del área referida</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Por último anotó, que el sistema normativo no establece como causal de nulidad absoluta de un instrumento público, “</w:t>
      </w:r>
      <w:r w:rsidRPr="00C028BE">
        <w:rPr>
          <w:rFonts w:ascii="Bookman Old Style" w:eastAsia="Times New Roman" w:hAnsi="Bookman Old Style" w:cs="Arial"/>
          <w:i/>
          <w:sz w:val="28"/>
          <w:szCs w:val="28"/>
          <w:lang w:eastAsia="es-ES"/>
        </w:rPr>
        <w:t>la existencia de una conciliación previa</w:t>
      </w:r>
      <w:r w:rsidRPr="00C028BE">
        <w:rPr>
          <w:rFonts w:ascii="Bookman Old Style" w:eastAsia="Times New Roman" w:hAnsi="Bookman Old Style" w:cs="Arial"/>
          <w:sz w:val="28"/>
          <w:szCs w:val="28"/>
          <w:lang w:eastAsia="es-ES"/>
        </w:rPr>
        <w:t>”; y además, concluyó, que  si en las escrituras adosadas no se observa objeto ni causa ilícita, y tampoco se omitió las formalidades legales y las partes otorgantes son sujetos capaces, debía ratificarse la sentencia impugnada.</w:t>
      </w:r>
    </w:p>
    <w:p w:rsidR="00C028BE" w:rsidRPr="00C028BE" w:rsidRDefault="00C028BE" w:rsidP="00C028BE">
      <w:pPr>
        <w:autoSpaceDE w:val="0"/>
        <w:autoSpaceDN w:val="0"/>
        <w:spacing w:after="0" w:line="360" w:lineRule="auto"/>
        <w:ind w:firstLine="1416"/>
        <w:jc w:val="both"/>
        <w:rPr>
          <w:rFonts w:ascii="Bookman Old Style" w:eastAsia="Times New Roman" w:hAnsi="Bookman Old Style" w:cs="Arial"/>
          <w:i/>
          <w:sz w:val="28"/>
          <w:szCs w:val="28"/>
          <w:lang w:eastAsia="es-ES"/>
        </w:rPr>
      </w:pPr>
    </w:p>
    <w:p w:rsidR="00C028BE" w:rsidRPr="00C028BE" w:rsidRDefault="00C028BE" w:rsidP="00C028BE">
      <w:pPr>
        <w:keepNext/>
        <w:autoSpaceDE w:val="0"/>
        <w:autoSpaceDN w:val="0"/>
        <w:spacing w:after="0" w:line="360" w:lineRule="auto"/>
        <w:jc w:val="center"/>
        <w:outlineLvl w:val="0"/>
        <w:rPr>
          <w:rFonts w:ascii="Bookman Old Style" w:eastAsia="Times New Roman" w:hAnsi="Bookman Old Style" w:cs="Arial"/>
          <w:b/>
          <w:bCs/>
          <w:sz w:val="28"/>
          <w:szCs w:val="28"/>
          <w:lang w:eastAsia="es-ES"/>
        </w:rPr>
      </w:pPr>
      <w:r w:rsidRPr="00C028BE">
        <w:rPr>
          <w:rFonts w:ascii="Bookman Old Style" w:eastAsia="Times New Roman" w:hAnsi="Bookman Old Style" w:cs="Arial"/>
          <w:b/>
          <w:bCs/>
          <w:sz w:val="28"/>
          <w:szCs w:val="28"/>
          <w:lang w:eastAsia="es-ES"/>
        </w:rPr>
        <w:t>LA DEMANDA DE CASACION</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Con sustento en la causal primera que consagra el artículo 368 del Código de Procedimiento Civil se formuló una sola denuncia, bajo la modalidad de violación indirecta por errores de hecho.</w:t>
      </w:r>
    </w:p>
    <w:p w:rsidR="00C028BE" w:rsidRPr="00C028BE" w:rsidRDefault="00C028BE" w:rsidP="00C028BE">
      <w:pPr>
        <w:autoSpaceDE w:val="0"/>
        <w:autoSpaceDN w:val="0"/>
        <w:spacing w:after="0" w:line="360" w:lineRule="auto"/>
        <w:ind w:firstLine="708"/>
        <w:jc w:val="center"/>
        <w:rPr>
          <w:rFonts w:ascii="Bookman Old Style" w:eastAsia="Times New Roman" w:hAnsi="Bookman Old Style" w:cs="Arial"/>
          <w:b/>
          <w:bCs/>
          <w:sz w:val="28"/>
          <w:szCs w:val="28"/>
          <w:lang w:eastAsia="es-ES"/>
        </w:rPr>
      </w:pPr>
    </w:p>
    <w:p w:rsidR="00C028BE" w:rsidRPr="00C028BE" w:rsidRDefault="00C028BE" w:rsidP="00C028BE">
      <w:pPr>
        <w:autoSpaceDE w:val="0"/>
        <w:autoSpaceDN w:val="0"/>
        <w:spacing w:after="0" w:line="360" w:lineRule="auto"/>
        <w:ind w:left="2832"/>
        <w:jc w:val="both"/>
        <w:rPr>
          <w:rFonts w:ascii="Bookman Old Style" w:eastAsia="Times New Roman" w:hAnsi="Bookman Old Style" w:cs="Arial"/>
          <w:b/>
          <w:bCs/>
          <w:sz w:val="28"/>
          <w:szCs w:val="28"/>
          <w:lang w:eastAsia="es-ES"/>
        </w:rPr>
      </w:pPr>
      <w:r w:rsidRPr="00C028BE">
        <w:rPr>
          <w:rFonts w:ascii="Bookman Old Style" w:eastAsia="Times New Roman" w:hAnsi="Bookman Old Style" w:cs="Arial"/>
          <w:b/>
          <w:bCs/>
          <w:sz w:val="28"/>
          <w:szCs w:val="28"/>
          <w:lang w:eastAsia="es-ES"/>
        </w:rPr>
        <w:t xml:space="preserve">CARGO ÚNICO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Se acusa la sentencia de infringir indirectamente las siguientes normas de derecho sustancial: (i) artículos 6º, 1519, 1523, 1740, 1741, 1742, 1746 y 1752 del Código Civil, y el 899 del C. de Co.; (ii) por su relación con los anteriores, los preceptos 3 y 13 del Decreto 3496 de 1983, los artículos 73, 76 y 77 del Decreto 1250 de 1970, artículos 99, 102 y 103 del Decreto 960 de 1970, canon 49 del Decreto 2148 de 1983 y 5º del Decreto 1711 de 1984; (iii) los artículos 2 y 96 de la Resolución 2555 de 1988 y 70 de 2011 emanada del Instituto Geográfico Agustín Codazzi; (iv) el artículo 669 del C.C. y 58 de la Constitución Política y, (v) también respecto de los </w:t>
      </w:r>
      <w:r w:rsidRPr="00C028BE">
        <w:rPr>
          <w:rFonts w:ascii="Bookman Old Style" w:eastAsia="Times New Roman" w:hAnsi="Bookman Old Style" w:cs="Arial"/>
          <w:sz w:val="28"/>
          <w:szCs w:val="28"/>
          <w:lang w:eastAsia="es-ES"/>
        </w:rPr>
        <w:lastRenderedPageBreak/>
        <w:t>anteriores, los cánones 175, 177, 185, 187, 194, 195, 197, 200, 258, 264 del CPC.</w:t>
      </w:r>
    </w:p>
    <w:p w:rsidR="00C028BE" w:rsidRPr="00C028BE" w:rsidRDefault="00C028BE" w:rsidP="00C028BE">
      <w:pPr>
        <w:autoSpaceDE w:val="0"/>
        <w:autoSpaceDN w:val="0"/>
        <w:spacing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Señaló inicialmente, que la violación de la normativa sustancial invocada se produjo, por errores de hecho manifiestos en la interpretación de la demanda y su sustitución, y de las pruebas que obran en el expediente.</w:t>
      </w:r>
    </w:p>
    <w:p w:rsidR="00C028BE" w:rsidRPr="00C028BE" w:rsidRDefault="00C028BE" w:rsidP="00C028BE">
      <w:pPr>
        <w:autoSpaceDE w:val="0"/>
        <w:autoSpaceDN w:val="0"/>
        <w:spacing w:line="360" w:lineRule="auto"/>
        <w:ind w:firstLine="708"/>
        <w:jc w:val="both"/>
        <w:rPr>
          <w:rFonts w:ascii="Bookman Old Style" w:eastAsia="Times New Roman" w:hAnsi="Bookman Old Style" w:cs="Arial"/>
          <w:b/>
          <w:sz w:val="28"/>
          <w:szCs w:val="28"/>
          <w:lang w:eastAsia="es-ES"/>
        </w:rPr>
      </w:pPr>
    </w:p>
    <w:p w:rsidR="00C028BE" w:rsidRPr="00C028BE" w:rsidRDefault="00C028BE" w:rsidP="00C028BE">
      <w:pPr>
        <w:autoSpaceDE w:val="0"/>
        <w:autoSpaceDN w:val="0"/>
        <w:spacing w:line="360" w:lineRule="auto"/>
        <w:ind w:firstLine="708"/>
        <w:jc w:val="both"/>
        <w:rPr>
          <w:rFonts w:ascii="Bookman Old Style" w:eastAsia="Times New Roman" w:hAnsi="Bookman Old Style" w:cs="Arial"/>
          <w:b/>
          <w:sz w:val="28"/>
          <w:szCs w:val="28"/>
          <w:lang w:eastAsia="es-ES"/>
        </w:rPr>
      </w:pPr>
      <w:r w:rsidRPr="00C028BE">
        <w:rPr>
          <w:rFonts w:ascii="Bookman Old Style" w:eastAsia="Times New Roman" w:hAnsi="Bookman Old Style" w:cs="Arial"/>
          <w:b/>
          <w:sz w:val="28"/>
          <w:szCs w:val="28"/>
          <w:lang w:eastAsia="es-ES"/>
        </w:rPr>
        <w:t>Error en la interpretación de la demanda</w:t>
      </w:r>
    </w:p>
    <w:p w:rsidR="00C028BE" w:rsidRPr="00C028BE" w:rsidRDefault="00C028BE" w:rsidP="00C028BE">
      <w:pPr>
        <w:autoSpaceDE w:val="0"/>
        <w:autoSpaceDN w:val="0"/>
        <w:spacing w:line="360" w:lineRule="auto"/>
        <w:ind w:firstLine="708"/>
        <w:jc w:val="both"/>
        <w:rPr>
          <w:rFonts w:ascii="Bookman Old Style" w:eastAsia="Times New Roman" w:hAnsi="Bookman Old Style" w:cs="Arial"/>
          <w:b/>
          <w:sz w:val="28"/>
          <w:szCs w:val="28"/>
          <w:lang w:eastAsia="es-ES"/>
        </w:rPr>
      </w:pPr>
    </w:p>
    <w:p w:rsidR="00C028BE" w:rsidRPr="00C028BE" w:rsidRDefault="00C028BE" w:rsidP="00C028BE">
      <w:pPr>
        <w:autoSpaceDE w:val="0"/>
        <w:autoSpaceDN w:val="0"/>
        <w:spacing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Para explicar lo relacionado con la apreciación del libelo, comenzó por resumir todos y cada uno de los fundamentos de la sentencia del Tribunal y a renglón seguido reprodujo las súplicas primera y segunda del texto de sustitución de demanda que se lee en los folios 535 a 547 del cuaderno uno (1).</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 xml:space="preserve">Recordó que su reclamación procuró esencialmente  que se declararan nulos absolutamente dos instrumentos públicos </w:t>
      </w:r>
      <w:r w:rsidRPr="00C028BE">
        <w:rPr>
          <w:rFonts w:ascii="Bookman Old Style" w:eastAsia="Times New Roman" w:hAnsi="Bookman Old Style" w:cs="Arial"/>
          <w:bCs/>
          <w:i/>
          <w:sz w:val="28"/>
          <w:szCs w:val="28"/>
          <w:lang w:eastAsia="es-ES"/>
        </w:rPr>
        <w:t xml:space="preserve">“por no reunir los documentos necesarios que soportan técnica y jurídicamente la exigencia de esta clase de actos jurídicos y por tener un objeto y causa ilícita”, </w:t>
      </w:r>
      <w:r w:rsidRPr="00C028BE">
        <w:rPr>
          <w:rFonts w:ascii="Bookman Old Style" w:eastAsia="Times New Roman" w:hAnsi="Bookman Old Style" w:cs="Arial"/>
          <w:bCs/>
          <w:sz w:val="28"/>
          <w:szCs w:val="28"/>
          <w:lang w:eastAsia="es-ES"/>
        </w:rPr>
        <w:t xml:space="preserve">puesto que la Resolución mediante la cual el IGAC actualizó el área y los linderos del predio EL ENCERRADO de propiedad de la pasiva se expidió después de la escritura pública 3491; mientras la segunda data del 18 de junio de 2008, el acto administrativo es del 30 de julio siguiente (la resolución del IGAC debió hacer parte de la EP 3491, dijo.); siendo aquella una exigencia cuyo </w:t>
      </w:r>
      <w:r w:rsidRPr="00C028BE">
        <w:rPr>
          <w:rFonts w:ascii="Bookman Old Style" w:eastAsia="Times New Roman" w:hAnsi="Bookman Old Style" w:cs="Arial"/>
          <w:bCs/>
          <w:sz w:val="28"/>
          <w:szCs w:val="28"/>
          <w:lang w:eastAsia="es-ES"/>
        </w:rPr>
        <w:lastRenderedPageBreak/>
        <w:t xml:space="preserve">desconocimiento acarrea la sanción pedida conforme lo previene el artículo 1741 del Código Civil.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Memoró precedentes de la Sala alusivos a la facultad que tiene el juez para interpretarla, recordando que al abrigo de esa potestad le está vedado alterar las pretensiones y los supuestos fácticos en que se funda.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Y agregó,</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sz w:val="24"/>
          <w:szCs w:val="24"/>
          <w:lang w:eastAsia="es-ES"/>
        </w:rPr>
      </w:pPr>
      <w:r w:rsidRPr="00C028BE">
        <w:rPr>
          <w:rFonts w:ascii="Bookman Old Style" w:eastAsia="Times New Roman" w:hAnsi="Bookman Old Style" w:cs="Arial"/>
          <w:sz w:val="24"/>
          <w:szCs w:val="24"/>
          <w:lang w:eastAsia="es-ES"/>
        </w:rPr>
        <w:t>“</w:t>
      </w:r>
      <w:r w:rsidRPr="00C028BE">
        <w:rPr>
          <w:rFonts w:ascii="Bookman Old Style" w:eastAsia="Times New Roman" w:hAnsi="Bookman Old Style" w:cs="Arial"/>
          <w:i/>
          <w:sz w:val="24"/>
          <w:szCs w:val="24"/>
          <w:lang w:eastAsia="es-ES"/>
        </w:rPr>
        <w:t>es entonces evidente, manifiesto y trascedente el error del Tribunal acerca de la interpretación de la demanda pues acorde con la jurisprudencia de la Corte, tergiversó completamente su sentido, pues no atinó a ver que según el claro texto de los hechos y pretensiones, lo que se destaca es la nulidad absoluta de las citadas escrituras públicas por la omisión de los requisitos previos y soportes, constitutivos de verdaderas formalidades exigidos en atención a la naturaleza del acto mediante el cual se procede a la corrección o actualización de áreas y determinación de linderos de inmuebles</w:t>
      </w:r>
      <w:r w:rsidRPr="00C028BE">
        <w:rPr>
          <w:rFonts w:ascii="Bookman Old Style" w:eastAsia="Times New Roman" w:hAnsi="Bookman Old Style" w:cs="Arial"/>
          <w:sz w:val="24"/>
          <w:szCs w:val="24"/>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b/>
          <w:sz w:val="28"/>
          <w:szCs w:val="28"/>
          <w:lang w:eastAsia="es-ES"/>
        </w:rPr>
      </w:pPr>
      <w:r w:rsidRPr="00C028BE">
        <w:rPr>
          <w:rFonts w:ascii="Bookman Old Style" w:eastAsia="Times New Roman" w:hAnsi="Bookman Old Style" w:cs="Arial"/>
          <w:b/>
          <w:sz w:val="28"/>
          <w:szCs w:val="28"/>
          <w:lang w:eastAsia="es-ES"/>
        </w:rPr>
        <w:t>Error respecto de la valoración de los medios de convicción</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Como acotación previa, recordó “</w:t>
      </w:r>
      <w:r w:rsidRPr="00C028BE">
        <w:rPr>
          <w:rFonts w:ascii="Bookman Old Style" w:eastAsia="Times New Roman" w:hAnsi="Bookman Old Style" w:cs="Arial"/>
          <w:i/>
          <w:sz w:val="28"/>
          <w:szCs w:val="28"/>
          <w:lang w:eastAsia="es-ES"/>
        </w:rPr>
        <w:t>los postulados básicos que dominan la institución de la nulidad absoluta deprecada y las normas imperativas que rigen la aclaración, corrección o actualización de áreas y linderos de inmuebles</w:t>
      </w:r>
      <w:r w:rsidRPr="00C028BE">
        <w:rPr>
          <w:rFonts w:ascii="Bookman Old Style" w:eastAsia="Times New Roman" w:hAnsi="Bookman Old Style" w:cs="Arial"/>
          <w:sz w:val="28"/>
          <w:szCs w:val="28"/>
          <w:lang w:eastAsia="es-ES"/>
        </w:rPr>
        <w:t>”, al igual que el interés de los actores en promover la acción formulada.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lastRenderedPageBreak/>
        <w:t xml:space="preserve">Se refirió al contenido del precepto 1741 del Código Civil, que regula las causales de nulidad absoluta del acto, enfatizando sobre la omisión de formalidades para su valor, es decir los requisitos </w:t>
      </w:r>
      <w:r w:rsidRPr="00C028BE">
        <w:rPr>
          <w:rFonts w:ascii="Bookman Old Style" w:eastAsia="Times New Roman" w:hAnsi="Bookman Old Style" w:cs="Arial"/>
          <w:i/>
          <w:sz w:val="28"/>
          <w:szCs w:val="28"/>
          <w:lang w:eastAsia="es-ES"/>
        </w:rPr>
        <w:t>ad sustantiaciam actus</w:t>
      </w:r>
      <w:r w:rsidRPr="00C028BE">
        <w:rPr>
          <w:rFonts w:ascii="Bookman Old Style" w:eastAsia="Times New Roman" w:hAnsi="Bookman Old Style" w:cs="Arial"/>
          <w:sz w:val="28"/>
          <w:szCs w:val="28"/>
          <w:lang w:eastAsia="es-ES"/>
        </w:rPr>
        <w:t xml:space="preserve">, que los diferenció de los </w:t>
      </w:r>
      <w:r w:rsidRPr="00C028BE">
        <w:rPr>
          <w:rFonts w:ascii="Bookman Old Style" w:eastAsia="Times New Roman" w:hAnsi="Bookman Old Style" w:cs="Arial"/>
          <w:i/>
          <w:sz w:val="28"/>
          <w:szCs w:val="28"/>
          <w:lang w:eastAsia="es-ES"/>
        </w:rPr>
        <w:t>ad probationem</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Mencionó la legitimación de la parte actora para intentar la acción de nulidad merced a lo dispuesto por el artículo 2º de la ley 50 de 1936 y transcribió una sentencia de la Corporación alusiva al tema; luego de lo cual reiteró el aspecto factual del litigio y dijo, que resulta “</w:t>
      </w:r>
      <w:r w:rsidRPr="00C028BE">
        <w:rPr>
          <w:rFonts w:ascii="Bookman Old Style" w:eastAsia="Times New Roman" w:hAnsi="Bookman Old Style" w:cs="Arial"/>
          <w:i/>
          <w:sz w:val="28"/>
          <w:szCs w:val="28"/>
          <w:lang w:eastAsia="es-ES"/>
        </w:rPr>
        <w:t>claro el interés jurídico y económico de los demandantes, porque esa variación en el área del predio EL ENCERRADO se realizó sin el lleno de las formalidades legales y requisitos técnicos exigidos por normas imperativas, (…)</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Señaló, que de acuerdo con lo establecido por las disposiciones legales que citó, el trámite para corregir, actualizar o aclarar áreas de predios deben reunir las siguientes exigencias: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w:t>
      </w:r>
      <w:r w:rsidRPr="00C028BE">
        <w:rPr>
          <w:rFonts w:ascii="Bookman Old Style" w:eastAsia="Times New Roman" w:hAnsi="Bookman Old Style" w:cs="Arial"/>
          <w:i/>
          <w:sz w:val="24"/>
          <w:szCs w:val="24"/>
          <w:lang w:eastAsia="es-ES"/>
        </w:rPr>
        <w:t xml:space="preserve">a.- previamente a realizar cualquiera de las anteriores actuaciones, debe elevarse una solicitud ante la Oficina de Catastro o del IGAC, para que estas entidades realicen las labores técnicas tendientes a aclarar, actualizar o corregir los linderos del inmueble correspondiente. En desarrollo de ese trámite, entre otros aspectos, se deben practicar las pruebas pertinentes, verificar la situación jurídica del inmueble, citar a todos los interesados o a todos aquellos que se pueden ver afectados (…) b.- Realizada la anterior actuación administrativa, se debe otorgar la respectiva escritura pública con base en la Resolución o certificado catastral emitidos </w:t>
      </w:r>
      <w:r w:rsidRPr="00C028BE">
        <w:rPr>
          <w:rFonts w:ascii="Bookman Old Style" w:eastAsia="Times New Roman" w:hAnsi="Bookman Old Style" w:cs="Arial"/>
          <w:i/>
          <w:sz w:val="24"/>
          <w:szCs w:val="24"/>
          <w:lang w:eastAsia="es-ES"/>
        </w:rPr>
        <w:lastRenderedPageBreak/>
        <w:t>por el ente administrativo correspondiente que sirve entonces como fundamento o soporte de la corrección, actualización o aclaración del área o linderos del inmueble; c.- inscripción de la escritura en la Oficina de Registro de Instrumentos Públicos para la modificación de la matricula inmobiliaria. Trámite (…) regulado por normas imperativas y por consiguiente de obligatorio cumplimiento comoquiera que responde a postulados de elemental seguridad jurídica</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Expresó que todo instrumento público que pretenda actualizar superficie y/o linderos de una heredad debe sujetarse a las normas imperativas, “</w:t>
      </w:r>
      <w:r w:rsidRPr="00C028BE">
        <w:rPr>
          <w:rFonts w:ascii="Bookman Old Style" w:eastAsia="Times New Roman" w:hAnsi="Bookman Old Style" w:cs="Arial"/>
          <w:i/>
          <w:sz w:val="28"/>
          <w:szCs w:val="28"/>
          <w:lang w:eastAsia="es-ES"/>
        </w:rPr>
        <w:t>so pena de que la escritura pública que omita dichas exigencias sea reo de nulidad absoluta</w:t>
      </w:r>
      <w:r w:rsidRPr="00C028BE">
        <w:rPr>
          <w:rFonts w:ascii="Bookman Old Style" w:eastAsia="Times New Roman" w:hAnsi="Bookman Old Style" w:cs="Arial"/>
          <w:sz w:val="28"/>
          <w:szCs w:val="28"/>
          <w:lang w:eastAsia="es-ES"/>
        </w:rPr>
        <w:t>”, circunstancia que se “</w:t>
      </w:r>
      <w:r w:rsidRPr="00C028BE">
        <w:rPr>
          <w:rFonts w:ascii="Bookman Old Style" w:eastAsia="Times New Roman" w:hAnsi="Bookman Old Style" w:cs="Arial"/>
          <w:i/>
          <w:sz w:val="28"/>
          <w:szCs w:val="28"/>
          <w:lang w:eastAsia="es-ES"/>
        </w:rPr>
        <w:t>refuerza</w:t>
      </w:r>
      <w:r w:rsidRPr="00C028BE">
        <w:rPr>
          <w:rFonts w:ascii="Bookman Old Style" w:eastAsia="Times New Roman" w:hAnsi="Bookman Old Style" w:cs="Arial"/>
          <w:sz w:val="28"/>
          <w:szCs w:val="28"/>
          <w:lang w:eastAsia="es-ES"/>
        </w:rPr>
        <w:t>” porque, con base en el artículo 99 del Decreto 960 de 1970, “</w:t>
      </w:r>
      <w:r w:rsidRPr="00C028BE">
        <w:rPr>
          <w:rFonts w:ascii="Bookman Old Style" w:eastAsia="Times New Roman" w:hAnsi="Bookman Old Style" w:cs="Arial"/>
          <w:i/>
          <w:sz w:val="28"/>
          <w:szCs w:val="28"/>
          <w:lang w:eastAsia="es-ES"/>
        </w:rPr>
        <w:t>desde el punto de vista formal son nulas las escrituras en que se omita el cumplimiento de requisitos esenciales que según el numeral 6) como norma en blanco, se presenta `cuando no se hayan consignado los datos y circunstancias necesarios para determinar los bienes objeto de las declaraciones</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Inmediatamente relacionó los siguientes yerros en la valoración de los elementos persuasivos: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a.- Apreciación incorrecta del documento 3491 de 2008. Sobre él describió su rótulo y manifestó, que el Tribunal no se percató de que, “</w:t>
      </w:r>
      <w:r w:rsidRPr="00C028BE">
        <w:rPr>
          <w:rFonts w:ascii="Bookman Old Style" w:eastAsia="Times New Roman" w:hAnsi="Bookman Old Style" w:cs="Arial"/>
          <w:i/>
          <w:sz w:val="28"/>
          <w:szCs w:val="28"/>
          <w:lang w:eastAsia="es-ES"/>
        </w:rPr>
        <w:t xml:space="preserve">según la especificación de la naturaleza del acto, por el numeral 0902 allí indicado, se trataba de una determinación y actualización de área total de inmueble, conforme a lo establecido en la Resolución 1695 de la Superintendencia de Notariado y Registro, sin que a la </w:t>
      </w:r>
      <w:r w:rsidRPr="00C028BE">
        <w:rPr>
          <w:rFonts w:ascii="Bookman Old Style" w:eastAsia="Times New Roman" w:hAnsi="Bookman Old Style" w:cs="Arial"/>
          <w:i/>
          <w:sz w:val="28"/>
          <w:szCs w:val="28"/>
          <w:lang w:eastAsia="es-ES"/>
        </w:rPr>
        <w:lastRenderedPageBreak/>
        <w:t>mencionada escritura se hubiera acompañado la correspondiente Resolución del IGAC, exigido como soporte y formalidad legal para poder realizar</w:t>
      </w:r>
      <w:r w:rsidRPr="00C028BE">
        <w:rPr>
          <w:rFonts w:ascii="Bookman Old Style" w:eastAsia="Times New Roman" w:hAnsi="Bookman Old Style" w:cs="Arial"/>
          <w:sz w:val="28"/>
          <w:szCs w:val="28"/>
          <w:lang w:eastAsia="es-ES"/>
        </w:rPr>
        <w:t>” la actualización y dotar de validez el acto.</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Expuso que a partir de lo anterior, el fallador </w:t>
      </w:r>
      <w:r w:rsidRPr="00C028BE">
        <w:rPr>
          <w:rFonts w:ascii="Bookman Old Style" w:eastAsia="Times New Roman" w:hAnsi="Bookman Old Style" w:cs="Arial"/>
          <w:i/>
          <w:sz w:val="28"/>
          <w:szCs w:val="28"/>
          <w:lang w:eastAsia="es-ES"/>
        </w:rPr>
        <w:t>ad quem</w:t>
      </w:r>
      <w:r w:rsidRPr="00C028BE">
        <w:rPr>
          <w:rFonts w:ascii="Bookman Old Style" w:eastAsia="Times New Roman" w:hAnsi="Bookman Old Style" w:cs="Arial"/>
          <w:sz w:val="28"/>
          <w:szCs w:val="28"/>
          <w:lang w:eastAsia="es-ES"/>
        </w:rPr>
        <w:t xml:space="preserve"> “</w:t>
      </w:r>
      <w:r w:rsidRPr="00C028BE">
        <w:rPr>
          <w:rFonts w:ascii="Bookman Old Style" w:eastAsia="Times New Roman" w:hAnsi="Bookman Old Style" w:cs="Arial"/>
          <w:i/>
          <w:sz w:val="28"/>
          <w:szCs w:val="28"/>
          <w:lang w:eastAsia="es-ES"/>
        </w:rPr>
        <w:t>pretermitió otras pruebas</w:t>
      </w:r>
      <w:r w:rsidRPr="00C028BE">
        <w:rPr>
          <w:rFonts w:ascii="Bookman Old Style" w:eastAsia="Times New Roman" w:hAnsi="Bookman Old Style" w:cs="Arial"/>
          <w:sz w:val="28"/>
          <w:szCs w:val="28"/>
          <w:lang w:eastAsia="es-ES"/>
        </w:rPr>
        <w:t xml:space="preserve">” que ratifican la intención de los opositores de actualizar el área del bien llamado EL ENCERRADO, mediante el englobe de varios de sus predios, así: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b.- Interrogatorio de parte de JAIME TORRES, en la que a pesar de ser absolutamente omitida, en ella confesó “</w:t>
      </w:r>
      <w:r w:rsidRPr="00C028BE">
        <w:rPr>
          <w:rFonts w:ascii="Bookman Old Style" w:eastAsia="Times New Roman" w:hAnsi="Bookman Old Style" w:cs="Arial"/>
          <w:i/>
          <w:sz w:val="28"/>
          <w:szCs w:val="28"/>
          <w:lang w:eastAsia="es-ES"/>
        </w:rPr>
        <w:t>paladinamente que suscribió la escritura 3491, `con el único objeto de aclarar el englobe de los lotes que adquirieron con anterioridad</w:t>
      </w:r>
      <w:r w:rsidRPr="00C028BE">
        <w:rPr>
          <w:rFonts w:ascii="Bookman Old Style" w:eastAsia="Times New Roman" w:hAnsi="Bookman Old Style" w:cs="Arial"/>
          <w:sz w:val="28"/>
          <w:szCs w:val="28"/>
          <w:lang w:eastAsia="es-ES"/>
        </w:rPr>
        <w:t>`”, esto es, que el fin de suscribir ese instrumento no era otro que englobar EL ENCERRADO, LAURELES y LA ÑAPA, “</w:t>
      </w:r>
      <w:r w:rsidRPr="00C028BE">
        <w:rPr>
          <w:rFonts w:ascii="Bookman Old Style" w:eastAsia="Times New Roman" w:hAnsi="Bookman Old Style" w:cs="Arial"/>
          <w:i/>
          <w:sz w:val="28"/>
          <w:szCs w:val="28"/>
          <w:lang w:eastAsia="es-ES"/>
        </w:rPr>
        <w:t>que presentaban matrículas independientes, además de desconocer los alcances de la conciliación realizada (…) dentro del proceso de deslinde y amojonamiento entablado entre las partes de este proceso</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c.- Aseguró que en la contestación de la demanda, se admitió “</w:t>
      </w:r>
      <w:r w:rsidRPr="00C028BE">
        <w:rPr>
          <w:rFonts w:ascii="Bookman Old Style" w:eastAsia="Times New Roman" w:hAnsi="Bookman Old Style" w:cs="Arial"/>
          <w:i/>
          <w:sz w:val="28"/>
          <w:szCs w:val="28"/>
          <w:lang w:eastAsia="es-ES"/>
        </w:rPr>
        <w:t>sin ningún género de dudas que por la escritura pública 3491 (…) procedieron a englobar el predio EL ENCERRADO mediante una corrección del área, resultante del englobe de los predios EL ENCERRADO, LA ÑAPA y LOS LAURELES</w:t>
      </w:r>
      <w:r w:rsidRPr="00C028BE">
        <w:rPr>
          <w:rFonts w:ascii="Bookman Old Style" w:eastAsia="Times New Roman" w:hAnsi="Bookman Old Style" w:cs="Arial"/>
          <w:sz w:val="28"/>
          <w:szCs w:val="28"/>
          <w:lang w:eastAsia="es-ES"/>
        </w:rPr>
        <w:t>” según refulge y valida de la respuesta a los hechos No 10, 14 y 26 del escrito genitor; es decir, expresa, “</w:t>
      </w:r>
      <w:r w:rsidRPr="00C028BE">
        <w:rPr>
          <w:rFonts w:ascii="Bookman Old Style" w:eastAsia="Times New Roman" w:hAnsi="Bookman Old Style" w:cs="Arial"/>
          <w:i/>
          <w:sz w:val="28"/>
          <w:szCs w:val="28"/>
          <w:lang w:eastAsia="es-ES"/>
        </w:rPr>
        <w:t xml:space="preserve">que un simple acto unilateral de voluntad, según los </w:t>
      </w:r>
      <w:r w:rsidRPr="00C028BE">
        <w:rPr>
          <w:rFonts w:ascii="Bookman Old Style" w:eastAsia="Times New Roman" w:hAnsi="Bookman Old Style" w:cs="Arial"/>
          <w:i/>
          <w:sz w:val="28"/>
          <w:szCs w:val="28"/>
          <w:lang w:eastAsia="es-ES"/>
        </w:rPr>
        <w:lastRenderedPageBreak/>
        <w:t>demandados, basta para aclarar y englobar áreas de inmuebles, lo que revela a las claras entonces, que la escritura pública 3491 se otorgó sin el soporte legal previo, que en este caso es la Resolución que al efecto expide el IGAC</w:t>
      </w:r>
      <w:r w:rsidRPr="00C028BE">
        <w:rPr>
          <w:rFonts w:ascii="Bookman Old Style" w:eastAsia="Times New Roman" w:hAnsi="Bookman Old Style" w:cs="Arial"/>
          <w:sz w:val="28"/>
          <w:szCs w:val="28"/>
          <w:lang w:eastAsia="es-ES"/>
        </w:rPr>
        <w:t>”, formalidad aquella imprescindible, cuya omisión deriva en la invalidez del acto, por estar en juego postulados como el de la seguridad jurídica y los derechos de terceros.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d.- Enumeró testimonios de los que, aseveró, “</w:t>
      </w:r>
      <w:r w:rsidRPr="00C028BE">
        <w:rPr>
          <w:rFonts w:ascii="Bookman Old Style" w:eastAsia="Times New Roman" w:hAnsi="Bookman Old Style" w:cs="Arial"/>
          <w:i/>
          <w:sz w:val="28"/>
          <w:szCs w:val="28"/>
          <w:lang w:eastAsia="es-ES"/>
        </w:rPr>
        <w:t>se deduce con claridad meridiana que los linderos del lote englobado EL ENCERRADO no estaban determinados ni por ende el área del inmueble</w:t>
      </w:r>
      <w:r w:rsidRPr="00C028BE">
        <w:rPr>
          <w:rFonts w:ascii="Bookman Old Style" w:eastAsia="Times New Roman" w:hAnsi="Bookman Old Style" w:cs="Arial"/>
          <w:sz w:val="28"/>
          <w:szCs w:val="28"/>
          <w:lang w:eastAsia="es-ES"/>
        </w:rPr>
        <w:t>”, antes de firmarse el instrumento. Además dijo, que las versiones de los declarantes se apoyaron en otras pruebas ignoradas por el Tribunal.</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Al efecto, el señor </w:t>
      </w:r>
      <w:r w:rsidRPr="00C028BE">
        <w:rPr>
          <w:rFonts w:ascii="Bookman Old Style" w:eastAsia="Times New Roman" w:hAnsi="Bookman Old Style" w:cs="Arial"/>
          <w:caps/>
          <w:sz w:val="28"/>
          <w:szCs w:val="28"/>
          <w:lang w:eastAsia="es-ES"/>
        </w:rPr>
        <w:t>Jorge ceballos álzate</w:t>
      </w:r>
      <w:r w:rsidRPr="00C028BE">
        <w:rPr>
          <w:rFonts w:ascii="Bookman Old Style" w:eastAsia="Times New Roman" w:hAnsi="Bookman Old Style" w:cs="Arial"/>
          <w:sz w:val="28"/>
          <w:szCs w:val="28"/>
          <w:lang w:eastAsia="es-ES"/>
        </w:rPr>
        <w:t xml:space="preserve"> refirió que los demandantes iniciaron un proceso de deslinde y amojonamiento en el Juzgado Civil del Circuito de Chocontá para definir el lindero entre los predios EL ENCERRADO de los opositores y la finca LOURDES de los actores, y que dentro de ese juicio conciliaron sus diferencias “</w:t>
      </w:r>
      <w:r w:rsidRPr="00C028BE">
        <w:rPr>
          <w:rFonts w:ascii="Bookman Old Style" w:eastAsia="Times New Roman" w:hAnsi="Bookman Old Style" w:cs="Arial"/>
          <w:i/>
          <w:sz w:val="28"/>
          <w:szCs w:val="28"/>
          <w:lang w:eastAsia="es-ES"/>
        </w:rPr>
        <w:t>sobre la base de que se solicitaría al IGAC que hicieran la demarcación con base en la plancha 209-II-D-4, conciliación que quedó plasmada</w:t>
      </w:r>
      <w:r w:rsidRPr="00C028BE">
        <w:rPr>
          <w:rFonts w:ascii="Bookman Old Style" w:eastAsia="Times New Roman" w:hAnsi="Bookman Old Style" w:cs="Arial"/>
          <w:sz w:val="28"/>
          <w:szCs w:val="28"/>
          <w:lang w:eastAsia="es-ES"/>
        </w:rPr>
        <w:t>” en acta visible en el folio 400, “</w:t>
      </w:r>
      <w:r w:rsidRPr="00C028BE">
        <w:rPr>
          <w:rFonts w:ascii="Bookman Old Style" w:eastAsia="Times New Roman" w:hAnsi="Bookman Old Style" w:cs="Arial"/>
          <w:i/>
          <w:sz w:val="28"/>
          <w:szCs w:val="28"/>
          <w:lang w:eastAsia="es-ES"/>
        </w:rPr>
        <w:t>y en desarrollo de lo cual se acordó que la delimitación se haría a través de una inspección judicial</w:t>
      </w:r>
      <w:r w:rsidRPr="00C028BE">
        <w:rPr>
          <w:rFonts w:ascii="Bookman Old Style" w:eastAsia="Times New Roman" w:hAnsi="Bookman Old Style" w:cs="Arial"/>
          <w:sz w:val="28"/>
          <w:szCs w:val="28"/>
          <w:lang w:eastAsia="es-ES"/>
        </w:rPr>
        <w:t>” que no se hizo, procediendo JAIME TORRES a otorgar la escritura y en la que el inmueble el ENCERRADO pasó de 42 a 54 hectáreas 4160 metros cuadrados.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lastRenderedPageBreak/>
        <w:t xml:space="preserve">De la manifestación del testigo PEDRO MANUEL MORENO MAHECHA, recordó que aquel como topógrafo, dijo que los bienes estaban superpuestos en sus linderos, en este caso el LOURDES sobre EL ENCERRADO.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Igualmente aludió a las versiones de LUÍS BARAJAS ROJAS y por último a la de ÁLVARO SUÁREZ ROJAS quien informa que participó como comisionado del IGAC para definir los lindes entre los predios de las partes de este juicio, memorando “</w:t>
      </w:r>
      <w:r w:rsidRPr="00C028BE">
        <w:rPr>
          <w:rFonts w:ascii="Bookman Old Style" w:eastAsia="Times New Roman" w:hAnsi="Bookman Old Style" w:cs="Arial"/>
          <w:i/>
          <w:sz w:val="28"/>
          <w:szCs w:val="28"/>
          <w:lang w:eastAsia="es-ES"/>
        </w:rPr>
        <w:t>que el señor TORRES quedó molesto por el resultado</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 Expuso que el sentenciador colegiado, desconoció el proceso de deslinde y amojonamiento y la conciliación a la que se llegó, actuación que se inició para determinar con precisión los límites entre las propiedades en disputa, y que luego de dictada la sentencia respectiva debía inscribirse en la Oficina de Registro de Instrumentos Públicos en los certificados de libertad que a cada heredad se le tiene asignada.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Dijo que los señores JAIME TORRES y YUMNA SEFAIR SILVA intentaron desconocer los términos del acuerdo y añadió que, “</w:t>
      </w:r>
      <w:r w:rsidRPr="00C028BE">
        <w:rPr>
          <w:rFonts w:ascii="Bookman Old Style" w:eastAsia="Times New Roman" w:hAnsi="Bookman Old Style" w:cs="Arial"/>
          <w:i/>
          <w:sz w:val="28"/>
          <w:szCs w:val="28"/>
          <w:lang w:eastAsia="es-ES"/>
        </w:rPr>
        <w:t>por lo expuesto no son ciertas las conclusiones probatorias a las que llegó el Tribunal</w:t>
      </w:r>
      <w:r w:rsidRPr="00C028BE">
        <w:rPr>
          <w:rFonts w:ascii="Bookman Old Style" w:eastAsia="Times New Roman" w:hAnsi="Bookman Old Style" w:cs="Arial"/>
          <w:sz w:val="28"/>
          <w:szCs w:val="28"/>
          <w:lang w:eastAsia="es-ES"/>
        </w:rPr>
        <w:t>” pues es claro que antes de la escritura 3491, “</w:t>
      </w:r>
      <w:r w:rsidRPr="00C028BE">
        <w:rPr>
          <w:rFonts w:ascii="Bookman Old Style" w:eastAsia="Times New Roman" w:hAnsi="Bookman Old Style" w:cs="Arial"/>
          <w:i/>
          <w:sz w:val="28"/>
          <w:szCs w:val="28"/>
          <w:lang w:eastAsia="es-ES"/>
        </w:rPr>
        <w:t>no estaban determinados los linderos del predio EL ENCERRADO, y al proceder los demandados a suscribir dicha escritura, desconocieron abiertamente los términos y condiciones en el acuerdo conciliatorio</w:t>
      </w:r>
      <w:r w:rsidRPr="00C028BE">
        <w:rPr>
          <w:rFonts w:ascii="Bookman Old Style" w:eastAsia="Times New Roman" w:hAnsi="Bookman Old Style" w:cs="Arial"/>
          <w:sz w:val="28"/>
          <w:szCs w:val="28"/>
          <w:lang w:eastAsia="es-ES"/>
        </w:rPr>
        <w:t xml:space="preserve">”, errando protuberantemente cuando afirma que los linderos del </w:t>
      </w:r>
      <w:r w:rsidRPr="00C028BE">
        <w:rPr>
          <w:rFonts w:ascii="Bookman Old Style" w:eastAsia="Times New Roman" w:hAnsi="Bookman Old Style" w:cs="Arial"/>
          <w:sz w:val="28"/>
          <w:szCs w:val="28"/>
          <w:lang w:eastAsia="es-ES"/>
        </w:rPr>
        <w:lastRenderedPageBreak/>
        <w:t>inmueble “</w:t>
      </w:r>
      <w:r w:rsidRPr="00C028BE">
        <w:rPr>
          <w:rFonts w:ascii="Bookman Old Style" w:eastAsia="Times New Roman" w:hAnsi="Bookman Old Style" w:cs="Arial"/>
          <w:i/>
          <w:sz w:val="28"/>
          <w:szCs w:val="28"/>
          <w:lang w:eastAsia="es-ES"/>
        </w:rPr>
        <w:t>si bien no estaban específicamente delimitados, si estaban determinados y en todo caso eran determinables</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Explicó, que no se percató el juez plural que la Resolución de 30 de julio de 2008 del IGAC visible en el folio 359, “</w:t>
      </w:r>
      <w:r w:rsidRPr="00C028BE">
        <w:rPr>
          <w:rFonts w:ascii="Bookman Old Style" w:eastAsia="Times New Roman" w:hAnsi="Bookman Old Style" w:cs="Arial"/>
          <w:i/>
          <w:sz w:val="28"/>
          <w:szCs w:val="28"/>
          <w:lang w:eastAsia="es-ES"/>
        </w:rPr>
        <w:t>es posterior a la escritura pública 3491 de 18 de junio de 2008, y es una `rectificación de área` y modifica su plancha 209 III D4 en lo que tiene que ver con la demarcación del lindero con el predio LOURDES, de propiedad de los demandantes</w:t>
      </w:r>
      <w:r w:rsidRPr="00C028BE">
        <w:rPr>
          <w:rFonts w:ascii="Bookman Old Style" w:eastAsia="Times New Roman" w:hAnsi="Bookman Old Style" w:cs="Arial"/>
          <w:sz w:val="28"/>
          <w:szCs w:val="28"/>
          <w:lang w:eastAsia="es-ES"/>
        </w:rPr>
        <w:t>”, reduciéndole su superficie en 16 hectáreas y 1800 metros cuadrados.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Esgrime que las actuaciones administrativas a las que refirió el Tribunal, dentro de las cuales la Oficina de Registro, “</w:t>
      </w:r>
      <w:r w:rsidRPr="00C028BE">
        <w:rPr>
          <w:rFonts w:ascii="Bookman Old Style" w:eastAsia="Times New Roman" w:hAnsi="Bookman Old Style" w:cs="Arial"/>
          <w:i/>
          <w:sz w:val="28"/>
          <w:szCs w:val="28"/>
          <w:lang w:eastAsia="es-ES"/>
        </w:rPr>
        <w:t>desechó la impugnación que presentara la parte demandante en contra de la inscripción en el folio de matrícula inmobiliaria del predio EL ENCERRADO no desvirtúa de ninguna manera la nulidad sustancial que en este proceso se intenta</w:t>
      </w:r>
      <w:r w:rsidRPr="00C028BE">
        <w:rPr>
          <w:rFonts w:ascii="Bookman Old Style" w:eastAsia="Times New Roman" w:hAnsi="Bookman Old Style" w:cs="Arial"/>
          <w:sz w:val="28"/>
          <w:szCs w:val="28"/>
          <w:lang w:eastAsia="es-ES"/>
        </w:rPr>
        <w:t>”, y tampoco se convalida la irregularidad sustancial constitutiva de invalidez de la escritura pública 3491, con la Resolución del 16 de julio de 2009 que no revocó el acto administrativo de 30 de julio de 2008 expedido por el IGAC, toda vez que, reiteró, el plurimencionado instrumento “</w:t>
      </w:r>
      <w:r w:rsidRPr="00C028BE">
        <w:rPr>
          <w:rFonts w:ascii="Bookman Old Style" w:eastAsia="Times New Roman" w:hAnsi="Bookman Old Style" w:cs="Arial"/>
          <w:i/>
          <w:sz w:val="28"/>
          <w:szCs w:val="28"/>
          <w:lang w:eastAsia="es-ES"/>
        </w:rPr>
        <w:t>carece de soporte técnico por constituir una rectificación de área</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Afirma, para concluir, que le asiste a los actores en este caso el derecho a reclamar la nulidad de las escrituras públicas, “</w:t>
      </w:r>
      <w:r w:rsidRPr="00C028BE">
        <w:rPr>
          <w:rFonts w:ascii="Bookman Old Style" w:eastAsia="Times New Roman" w:hAnsi="Bookman Old Style" w:cs="Arial"/>
          <w:i/>
          <w:sz w:val="28"/>
          <w:szCs w:val="28"/>
          <w:lang w:eastAsia="es-ES"/>
        </w:rPr>
        <w:t>comoquiera que mediante títulos viciados de ilicitud, se pretende</w:t>
      </w:r>
      <w:r w:rsidRPr="00C028BE">
        <w:rPr>
          <w:rFonts w:ascii="Bookman Old Style" w:eastAsia="Times New Roman" w:hAnsi="Bookman Old Style" w:cs="Arial"/>
          <w:sz w:val="28"/>
          <w:szCs w:val="28"/>
          <w:lang w:eastAsia="es-ES"/>
        </w:rPr>
        <w:t xml:space="preserve">” despojarlos de parte de la propiedad de su predio LOURDES cuyos títulos de adquisición son incuestionables y </w:t>
      </w:r>
      <w:r w:rsidRPr="00C028BE">
        <w:rPr>
          <w:rFonts w:ascii="Bookman Old Style" w:eastAsia="Times New Roman" w:hAnsi="Bookman Old Style" w:cs="Arial"/>
          <w:sz w:val="28"/>
          <w:szCs w:val="28"/>
          <w:lang w:eastAsia="es-ES"/>
        </w:rPr>
        <w:lastRenderedPageBreak/>
        <w:t>además encuentran respaldo en el artículo 58 superior, garante del dominio adquirido con arreglo a las leyes civiles.</w:t>
      </w:r>
    </w:p>
    <w:p w:rsidR="00C028BE" w:rsidRPr="00C028BE" w:rsidRDefault="00C028BE" w:rsidP="00C028BE">
      <w:pPr>
        <w:autoSpaceDE w:val="0"/>
        <w:autoSpaceDN w:val="0"/>
        <w:spacing w:after="0" w:line="360" w:lineRule="auto"/>
        <w:ind w:firstLine="708"/>
        <w:jc w:val="center"/>
        <w:rPr>
          <w:rFonts w:ascii="Bookman Old Style" w:eastAsia="Times New Roman" w:hAnsi="Bookman Old Style" w:cs="Arial"/>
          <w:b/>
          <w:sz w:val="28"/>
          <w:szCs w:val="28"/>
          <w:lang w:eastAsia="es-ES"/>
        </w:rPr>
      </w:pPr>
    </w:p>
    <w:p w:rsidR="00C028BE" w:rsidRPr="00C028BE" w:rsidRDefault="00C028BE" w:rsidP="00C028BE">
      <w:pPr>
        <w:autoSpaceDE w:val="0"/>
        <w:autoSpaceDN w:val="0"/>
        <w:spacing w:after="0" w:line="360" w:lineRule="auto"/>
        <w:ind w:firstLine="708"/>
        <w:jc w:val="center"/>
        <w:rPr>
          <w:rFonts w:ascii="Bookman Old Style" w:eastAsia="Times New Roman" w:hAnsi="Bookman Old Style" w:cs="Arial"/>
          <w:b/>
          <w:sz w:val="28"/>
          <w:szCs w:val="28"/>
          <w:lang w:eastAsia="es-ES"/>
        </w:rPr>
      </w:pPr>
      <w:r w:rsidRPr="00C028BE">
        <w:rPr>
          <w:rFonts w:ascii="Bookman Old Style" w:eastAsia="Times New Roman" w:hAnsi="Bookman Old Style" w:cs="Arial"/>
          <w:b/>
          <w:sz w:val="28"/>
          <w:szCs w:val="28"/>
          <w:lang w:eastAsia="es-ES"/>
        </w:rPr>
        <w:t>CONSIDERACIONES</w:t>
      </w:r>
    </w:p>
    <w:p w:rsidR="00C028BE" w:rsidRPr="00C028BE" w:rsidRDefault="00C028BE" w:rsidP="00C028BE">
      <w:pPr>
        <w:autoSpaceDE w:val="0"/>
        <w:autoSpaceDN w:val="0"/>
        <w:spacing w:after="0" w:line="360" w:lineRule="auto"/>
        <w:ind w:firstLine="708"/>
        <w:jc w:val="center"/>
        <w:rPr>
          <w:rFonts w:ascii="Bookman Old Style" w:eastAsia="Times New Roman" w:hAnsi="Bookman Old Style" w:cs="Arial"/>
          <w:b/>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1.- En aras de evitar que los extremos de las relaciones negociales soslayen el sometimiento a la legalidad, el ordenamiento confeccionó sanciones de orden civil para los infractores, que se traducen en la cesación de los efectos  acordados. En esa dirección, ordena el artículo 1740 del Código Civil, que “</w:t>
      </w:r>
      <w:r w:rsidRPr="00C028BE">
        <w:rPr>
          <w:rFonts w:ascii="Bookman Old Style" w:eastAsia="Times New Roman" w:hAnsi="Bookman Old Style" w:cs="Arial"/>
          <w:i/>
          <w:sz w:val="28"/>
          <w:szCs w:val="28"/>
          <w:lang w:eastAsia="es-ES"/>
        </w:rPr>
        <w:t>es nulo todo acto o contrato a que falte alguno de los requisitos que la ley prescribe para el valor del mismo acto o contrato, según su especie y la calidad o estado de las partes</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Tratándose del vicio castigado ora con nulidad absoluta, bien con relativa, de todos modos, la consecuencia  no opera </w:t>
      </w:r>
      <w:r w:rsidRPr="00C028BE">
        <w:rPr>
          <w:rFonts w:ascii="Bookman Old Style" w:eastAsia="Times New Roman" w:hAnsi="Bookman Old Style" w:cs="Arial"/>
          <w:i/>
          <w:sz w:val="28"/>
          <w:szCs w:val="28"/>
          <w:lang w:eastAsia="es-ES"/>
        </w:rPr>
        <w:t>ipso jure</w:t>
      </w:r>
      <w:r w:rsidRPr="00C028BE">
        <w:rPr>
          <w:rFonts w:ascii="Bookman Old Style" w:eastAsia="Times New Roman" w:hAnsi="Bookman Old Style" w:cs="Arial"/>
          <w:sz w:val="28"/>
          <w:szCs w:val="28"/>
          <w:lang w:eastAsia="es-ES"/>
        </w:rPr>
        <w:t>; requiere la declaración judicial correspondiente.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2. Por cuanto la presente actuación tuvo origen en la pretensión de nulidad absoluta de dos actos incorporados en instrumentos públicos contentivos de una actualización de áreas de bien inmueble y de ratificación de medidas respectivamente, tras denunciarse, entre otras, disposiciones del Estatuto del Notariado, conviene recordar, cual lo hubiere expuesto la Sala que: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 xml:space="preserve">“De conformidad con lo dispuesto por el Decreto-ley 960 de 1970, en el proceso de "perfeccionamiento" de una escritura pública, se distinguen varias etapas sucesivas e independientes entre sí, </w:t>
      </w:r>
      <w:r w:rsidRPr="00C028BE">
        <w:rPr>
          <w:rFonts w:ascii="Bookman Old Style" w:eastAsia="Times New Roman" w:hAnsi="Bookman Old Style" w:cs="Arial"/>
          <w:i/>
          <w:sz w:val="24"/>
          <w:szCs w:val="24"/>
          <w:lang w:eastAsia="es-ES"/>
        </w:rPr>
        <w:lastRenderedPageBreak/>
        <w:t>cuales son: la recepción de las declaraciones de los otorgantes; la extensión de las mismas, es decir, la incorporación al documento de la "versión escrita" de lo declarado; el otorgamiento, o sea, el asentimiento de los otorgantes al texto que ha sido extendido en el instrumento; y, por último, la autorización que, a tenor del artículo 14 del Decreto-ley 960 de 1970, consiste en "la fe que imprime el notario" al instrumento, lo que realiza luego de verificar el cumplimiento de los "requisitos pertinentes" y en atestación pública "de que las declaraciones han sido realmente emitidas por los interesados".</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Dado que durante el proceso de "perfeccionamiento" de una escritura pública puede incurrirse en nulidad, lo que acontece cuando se omite el "cumplimiento de los requisitos esenciales", o pueden ocurrir irregularidades de menor entidad "desde el punto de vista formal", el Decreto-ley 960 de 1970 dedicó su Título III a la "Invalidez y Subsanación de los Actos Notariales"</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De los primeros, se ocupa en forma específica el artículo 99 del Decreto en mención, casos en los cuales se sanciona por el legislador el vicio de  que se trate, con la invalidez del acto notarial en cuestión.</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 xml:space="preserve">En cuanto a las demás irregularidades, éstas pueden ser objeto de "Subsanación", enmienda o corrección, y de ello se ocupan las restantes normas del Título III del aludido Decreto 960 de 1970, cual acontece cuando a pesar de haberse cumplido los requisitos esenciales para el nacimiento de una escritura pública a la vida jurídica, por una circunstancia ajena a las partes y atribuible al Notario, éste no la firmó. En tal hipótesis, quien ocupe el cargo podrá suscribir con posterioridad el documento para elevarlo a la categoría de escritura pública, previa autorización de la </w:t>
      </w:r>
      <w:r w:rsidRPr="00C028BE">
        <w:rPr>
          <w:rFonts w:ascii="Bookman Old Style" w:eastAsia="Times New Roman" w:hAnsi="Bookman Old Style" w:cs="Arial"/>
          <w:i/>
          <w:sz w:val="24"/>
          <w:szCs w:val="24"/>
          <w:lang w:eastAsia="es-ES"/>
        </w:rPr>
        <w:lastRenderedPageBreak/>
        <w:t>Superintendencia de Notariado y Registro (Art. 100, Decreto-ley 960 de 1970 y Art. 47 del Decreto 2148 de 1983), (…)”</w:t>
      </w:r>
      <w:r w:rsidRPr="00C028BE">
        <w:rPr>
          <w:rFonts w:ascii="Bookman Old Style" w:eastAsia="Times New Roman" w:hAnsi="Bookman Old Style" w:cs="Arial"/>
          <w:i/>
          <w:sz w:val="24"/>
          <w:szCs w:val="24"/>
          <w:vertAlign w:val="superscript"/>
          <w:lang w:eastAsia="es-ES"/>
        </w:rPr>
        <w:footnoteReference w:id="1"/>
      </w:r>
      <w:r w:rsidRPr="00C028BE">
        <w:rPr>
          <w:rFonts w:ascii="Bookman Old Style" w:eastAsia="Times New Roman" w:hAnsi="Bookman Old Style" w:cs="Arial"/>
          <w:i/>
          <w:sz w:val="24"/>
          <w:szCs w:val="24"/>
          <w:lang w:eastAsia="es-ES"/>
        </w:rPr>
        <w:t>.</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C028BE">
        <w:rPr>
          <w:rFonts w:ascii="Bookman Old Style" w:eastAsia="Times New Roman" w:hAnsi="Bookman Old Style" w:cs="Arial"/>
          <w:sz w:val="28"/>
          <w:szCs w:val="28"/>
          <w:lang w:eastAsia="es-ES"/>
        </w:rPr>
        <w:t>El artículo 99 del Decreto 960 de 1970 recoge “</w:t>
      </w:r>
      <w:r w:rsidRPr="00C028BE">
        <w:rPr>
          <w:rFonts w:ascii="Bookman Old Style" w:eastAsia="Times New Roman" w:hAnsi="Bookman Old Style" w:cs="Arial"/>
          <w:i/>
          <w:sz w:val="28"/>
          <w:szCs w:val="28"/>
          <w:lang w:eastAsia="es-ES"/>
        </w:rPr>
        <w:t>desde el punto de vista formal</w:t>
      </w:r>
      <w:r w:rsidRPr="00C028BE">
        <w:rPr>
          <w:rFonts w:ascii="Bookman Old Style" w:eastAsia="Times New Roman" w:hAnsi="Bookman Old Style" w:cs="Arial"/>
          <w:sz w:val="28"/>
          <w:szCs w:val="28"/>
          <w:lang w:eastAsia="es-ES"/>
        </w:rPr>
        <w:t>” los motivos de nulidad de las escrituras en los eventos de omitirse los siguientes presupuestos  esenciales:</w:t>
      </w:r>
      <w:r w:rsidRPr="00C028BE">
        <w:rPr>
          <w:rFonts w:ascii="Bookman Old Style" w:eastAsia="Times New Roman" w:hAnsi="Bookman Old Style" w:cs="Arial"/>
          <w:i/>
          <w:sz w:val="28"/>
          <w:szCs w:val="28"/>
          <w:lang w:eastAsia="es-ES"/>
        </w:rPr>
        <w:t>“1. Cuando el Notario actúe fuera de los límites territoriales del respectivo Círculo Notarial. 2. Cuando faltare la comparecencia ante el Notario de cualquiera de los otorgantes, bien sea directamente o por representación. 3. Cuando los comparecientes no hayan prestado aprobación al texto del instrumento extendido. 4. Cuando no aparezcan la fecha y el lugar de la autorización, la denominación legal del Notario, los comprobantes de la representación, o los necesarios para autorizar la cancelación. 5. Cuando no aparezca debidamente establecida la identificación de los otorgantes o de sus representantes, o la forma de aquellos o de cualquier compareciente. 6. Cuando no se hayan consignado los datos y circunstancias necesarios para determinar los bienes objeto de las declaraciones”</w:t>
      </w:r>
      <w:r w:rsidRPr="00C028BE">
        <w:rPr>
          <w:rFonts w:ascii="Bookman Old Style" w:eastAsia="Times New Roman" w:hAnsi="Bookman Old Style" w:cs="Arial"/>
          <w:sz w:val="28"/>
          <w:szCs w:val="28"/>
          <w:lang w:eastAsia="es-ES"/>
        </w:rPr>
        <w:t xml:space="preserve">.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Aquellas exigencias se predican del documento en cuanto instrumento autónomo, es decir, distinto a la manifestación de voluntad que él incorpora; por ello, se destaca, es considerado una pieza desligada de las afirmaciones que las partes le hubieren consignado.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Al efecto, ha sostenido esta Corporación:</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val="es-CO" w:eastAsia="es-ES"/>
        </w:rPr>
      </w:pPr>
      <w:r w:rsidRPr="00C028BE">
        <w:rPr>
          <w:rFonts w:ascii="Bookman Old Style" w:eastAsia="Times New Roman" w:hAnsi="Bookman Old Style" w:cs="Arial"/>
          <w:i/>
          <w:sz w:val="24"/>
          <w:szCs w:val="24"/>
          <w:lang w:val="es-CO" w:eastAsia="es-ES"/>
        </w:rPr>
        <w:lastRenderedPageBreak/>
        <w:t xml:space="preserve">“Es posible, naturalmente, que el contenido de la escritura, </w:t>
      </w:r>
      <w:r w:rsidRPr="00C028BE">
        <w:rPr>
          <w:rFonts w:ascii="Bookman Old Style" w:eastAsia="Times New Roman" w:hAnsi="Bookman Old Style" w:cs="Arial"/>
          <w:i/>
          <w:sz w:val="24"/>
          <w:szCs w:val="24"/>
          <w:u w:val="single"/>
          <w:lang w:val="es-CO" w:eastAsia="es-ES"/>
        </w:rPr>
        <w:t>cuando es negocial,</w:t>
      </w:r>
      <w:r w:rsidRPr="00C028BE">
        <w:rPr>
          <w:rFonts w:ascii="Bookman Old Style" w:eastAsia="Times New Roman" w:hAnsi="Bookman Old Style" w:cs="Arial"/>
          <w:i/>
          <w:sz w:val="24"/>
          <w:szCs w:val="24"/>
          <w:lang w:val="es-CO" w:eastAsia="es-ES"/>
        </w:rPr>
        <w:t xml:space="preserve"> adolezca de una causal de nulidad, mas no por semejante motivo se verá comprometido el instrumento en sí. </w:t>
      </w:r>
      <w:r w:rsidRPr="00C028BE">
        <w:rPr>
          <w:rFonts w:ascii="Bookman Old Style" w:eastAsia="Times New Roman" w:hAnsi="Bookman Old Style" w:cs="Arial"/>
          <w:i/>
          <w:sz w:val="24"/>
          <w:szCs w:val="24"/>
          <w:u w:val="single"/>
          <w:lang w:val="es-CO" w:eastAsia="es-ES"/>
        </w:rPr>
        <w:t>En el mismo orden de ideas, si sobre la escritura pública gravita uno de los motivos de nulidad indicados en el artículo 99 del Dto. 960, su contenido, por lo menos en principio, no tiene por qué sufrir influencia de ninguna especie de ese hecho, puesto que se está ante dos entidades que jurídicamente se conciben o captan de manera autónoma</w:t>
      </w:r>
      <w:r w:rsidRPr="00C028BE">
        <w:rPr>
          <w:rFonts w:ascii="Bookman Old Style" w:eastAsia="Times New Roman" w:hAnsi="Bookman Old Style" w:cs="Arial"/>
          <w:i/>
          <w:sz w:val="24"/>
          <w:szCs w:val="24"/>
          <w:lang w:val="es-CO" w:eastAsia="es-ES"/>
        </w:rPr>
        <w:t>, así estén conectadas en la medida en que la escritura dice de la declaración. Otra cosa, por supuesto, será que con ocasión de la declaratoria de invalidez de la escritura, desaparezca también su contenido cuando este no puede permanecer sin el sustento de aquella por ser condición de su propia existencia; sin embargo, aún en tal caso, la cuestión siempre se sopesará desde el ángulo del instrumento y no desde el de las declaraciones en ella consignadas.</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sz w:val="24"/>
          <w:szCs w:val="24"/>
          <w:lang w:val="es-CO" w:eastAsia="es-ES"/>
        </w:rPr>
      </w:pPr>
      <w:r w:rsidRPr="00C028BE">
        <w:rPr>
          <w:rFonts w:ascii="Bookman Old Style" w:eastAsia="Times New Roman" w:hAnsi="Bookman Old Style" w:cs="Arial"/>
          <w:i/>
          <w:sz w:val="24"/>
          <w:szCs w:val="24"/>
          <w:u w:val="single"/>
          <w:lang w:val="es-CO" w:eastAsia="es-ES"/>
        </w:rPr>
        <w:t>Por tanto, cabe afirmar que las declaraciones en sí mismas desempeñan un papel neutro o indiferente respecto de las exigencias formales de la escritura pública</w:t>
      </w:r>
      <w:r w:rsidRPr="00C028BE">
        <w:rPr>
          <w:rFonts w:ascii="Bookman Old Style" w:eastAsia="Times New Roman" w:hAnsi="Bookman Old Style" w:cs="Arial"/>
          <w:i/>
          <w:sz w:val="24"/>
          <w:szCs w:val="24"/>
          <w:lang w:val="es-CO" w:eastAsia="es-ES"/>
        </w:rPr>
        <w:t>, de donde se sigue que estas exigencias de índole formal ninguna dependencia crean respecto de lo que determine la ley sustancial acerca de esas declaraciones”</w:t>
      </w:r>
      <w:r w:rsidRPr="00C028BE">
        <w:rPr>
          <w:rFonts w:ascii="Bookman Old Style" w:eastAsia="Times New Roman" w:hAnsi="Bookman Old Style" w:cs="Arial"/>
          <w:i/>
          <w:sz w:val="24"/>
          <w:szCs w:val="24"/>
          <w:vertAlign w:val="superscript"/>
          <w:lang w:val="es-CO" w:eastAsia="es-ES"/>
        </w:rPr>
        <w:footnoteReference w:id="2"/>
      </w:r>
      <w:r w:rsidRPr="00C028BE">
        <w:rPr>
          <w:rFonts w:ascii="Bookman Old Style" w:eastAsia="Times New Roman" w:hAnsi="Bookman Old Style" w:cs="Arial"/>
          <w:sz w:val="24"/>
          <w:szCs w:val="24"/>
          <w:lang w:val="es-CO" w:eastAsia="es-ES"/>
        </w:rPr>
        <w:t>. (Subraya fuer de texto).</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sz w:val="24"/>
          <w:szCs w:val="24"/>
          <w:lang w:val="es-CO"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3. Una cosa es la nulidad formal de las escrituras públicas reglamentada en el decreto 960 de 1970 y otra diferente la nulidad absoluta de un acto o contrato por falta de requisitos para el valor del mismo según su especie y la calidad o estado de las partes a que se refiere el artículo 1740 y siguientes del código civil.</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3.1 En efecto, el canon 1741 de la misma obra dice: “</w:t>
      </w:r>
      <w:r w:rsidRPr="00C028BE">
        <w:rPr>
          <w:rFonts w:ascii="Bookman Old Style" w:eastAsia="Times New Roman" w:hAnsi="Bookman Old Style" w:cs="Arial"/>
          <w:i/>
          <w:sz w:val="28"/>
          <w:szCs w:val="28"/>
          <w:lang w:eastAsia="es-ES"/>
        </w:rPr>
        <w:t xml:space="preserve">La nulidad producida por un objeto o causa ilícita, y la nulidad </w:t>
      </w:r>
      <w:r w:rsidRPr="00C028BE">
        <w:rPr>
          <w:rFonts w:ascii="Bookman Old Style" w:eastAsia="Times New Roman" w:hAnsi="Bookman Old Style" w:cs="Arial"/>
          <w:i/>
          <w:sz w:val="28"/>
          <w:szCs w:val="28"/>
          <w:lang w:eastAsia="es-ES"/>
        </w:rPr>
        <w:lastRenderedPageBreak/>
        <w:t>producida por la omisión de algún requisito o formalidad que las leyes prescriben para el valor de ciertos actos o contratos en consideración a la naturaleza de ellos, y no a la calidad o estado de las personas que los ejecutan o acuerdan, son nulidades absolutas. Hay así mismo nulidad absoluta en los actos y contratos de personas absolutamente incapaces. Cualquiera otra especie de vicio produce nulidad relativa, y da derecho a la rescisión del acto o contrato</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3.2 Las nulidades sustantivas, entonces, pueden ser absolutas o relativas, siendo uno de los criterios para realizar la distinción la naturaleza e importancia de la norma violada, dependiendo de si lo que se resguarda es el orden público o los intereses privados. De la misma manera, emergen otros rasgos característicos para diferenciarl</w:t>
      </w:r>
      <w:r w:rsidR="00F05EE5">
        <w:rPr>
          <w:rFonts w:ascii="Bookman Old Style" w:eastAsia="Times New Roman" w:hAnsi="Bookman Old Style" w:cs="Arial"/>
          <w:sz w:val="28"/>
          <w:szCs w:val="28"/>
          <w:lang w:eastAsia="es-ES"/>
        </w:rPr>
        <w:t>a</w:t>
      </w:r>
      <w:r w:rsidRPr="00C028BE">
        <w:rPr>
          <w:rFonts w:ascii="Bookman Old Style" w:eastAsia="Times New Roman" w:hAnsi="Bookman Old Style" w:cs="Arial"/>
          <w:sz w:val="28"/>
          <w:szCs w:val="28"/>
          <w:lang w:eastAsia="es-ES"/>
        </w:rPr>
        <w:t>s, dependiendo, verbigracia, de la legitimación para invocarla, el saneamiento y el término de prescripción.</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Tratándose de las primeras, los motivos para que se estructure, se repite, derivan de: (i) </w:t>
      </w:r>
      <w:r w:rsidRPr="00C028BE">
        <w:rPr>
          <w:rFonts w:ascii="Bookman Old Style" w:eastAsia="Times New Roman" w:hAnsi="Bookman Old Style" w:cs="Arial"/>
          <w:b/>
          <w:sz w:val="28"/>
          <w:szCs w:val="28"/>
          <w:lang w:eastAsia="es-ES"/>
        </w:rPr>
        <w:t>la causa ilícita</w:t>
      </w:r>
      <w:r w:rsidRPr="00C028BE">
        <w:rPr>
          <w:rFonts w:ascii="Bookman Old Style" w:eastAsia="Times New Roman" w:hAnsi="Bookman Old Style" w:cs="Arial"/>
          <w:sz w:val="28"/>
          <w:szCs w:val="28"/>
          <w:lang w:eastAsia="es-ES"/>
        </w:rPr>
        <w:t>, entendiéndose por tal, “</w:t>
      </w:r>
      <w:r w:rsidRPr="00C028BE">
        <w:rPr>
          <w:rFonts w:ascii="Bookman Old Style" w:eastAsia="Times New Roman" w:hAnsi="Bookman Old Style" w:cs="Arial"/>
          <w:i/>
          <w:sz w:val="28"/>
          <w:szCs w:val="28"/>
          <w:lang w:eastAsia="es-ES"/>
        </w:rPr>
        <w:t>la prohibida por la ley, o contraria a las buenas costumbres o al orden público</w:t>
      </w:r>
      <w:r w:rsidRPr="00C028BE">
        <w:rPr>
          <w:rFonts w:ascii="Bookman Old Style" w:eastAsia="Times New Roman" w:hAnsi="Bookman Old Style" w:cs="Arial"/>
          <w:sz w:val="28"/>
          <w:szCs w:val="28"/>
          <w:lang w:eastAsia="es-ES"/>
        </w:rPr>
        <w:t xml:space="preserve">” (Art. 1524); (ii) </w:t>
      </w:r>
      <w:r w:rsidRPr="00C028BE">
        <w:rPr>
          <w:rFonts w:ascii="Bookman Old Style" w:eastAsia="Times New Roman" w:hAnsi="Bookman Old Style" w:cs="Arial"/>
          <w:b/>
          <w:sz w:val="28"/>
          <w:szCs w:val="28"/>
          <w:lang w:eastAsia="es-ES"/>
        </w:rPr>
        <w:t>el objeto ilícito</w:t>
      </w:r>
      <w:r w:rsidRPr="00C028BE">
        <w:rPr>
          <w:rFonts w:ascii="Bookman Old Style" w:eastAsia="Times New Roman" w:hAnsi="Bookman Old Style" w:cs="Arial"/>
          <w:sz w:val="28"/>
          <w:szCs w:val="28"/>
          <w:lang w:eastAsia="es-ES"/>
        </w:rPr>
        <w:t xml:space="preserve">, pues dado que el mismo concierne a lo que se quiere del negocio jurídico, este debe ser armónico con el imperio de la legalidad. Se desconoce por ejemplo, al contravenirse el derecho público de la Nación, venderse cosas que se encuentren por fuera del comercio, o cuando se transfiere el derecho a suceder a una persona viva, no obstante mediar su consentimiento (Arts. 1519-1521); (iii) </w:t>
      </w:r>
      <w:r w:rsidRPr="00C028BE">
        <w:rPr>
          <w:rFonts w:ascii="Bookman Old Style" w:eastAsia="Times New Roman" w:hAnsi="Bookman Old Style" w:cs="Arial"/>
          <w:b/>
          <w:sz w:val="28"/>
          <w:szCs w:val="28"/>
          <w:lang w:eastAsia="es-ES"/>
        </w:rPr>
        <w:t>la falta de solemnidades</w:t>
      </w:r>
      <w:r w:rsidRPr="00C028BE">
        <w:rPr>
          <w:rFonts w:ascii="Bookman Old Style" w:eastAsia="Times New Roman" w:hAnsi="Bookman Old Style" w:cs="Arial"/>
          <w:sz w:val="28"/>
          <w:szCs w:val="28"/>
          <w:lang w:eastAsia="es-ES"/>
        </w:rPr>
        <w:t xml:space="preserve"> por su parte, alude a los llamados </w:t>
      </w:r>
      <w:r w:rsidRPr="00C028BE">
        <w:rPr>
          <w:rFonts w:ascii="Bookman Old Style" w:eastAsia="Times New Roman" w:hAnsi="Bookman Old Style" w:cs="Arial"/>
          <w:sz w:val="28"/>
          <w:szCs w:val="28"/>
          <w:lang w:eastAsia="es-ES"/>
        </w:rPr>
        <w:lastRenderedPageBreak/>
        <w:t xml:space="preserve">presupuestos </w:t>
      </w:r>
      <w:r w:rsidRPr="00C028BE">
        <w:rPr>
          <w:rFonts w:ascii="Bookman Old Style" w:eastAsia="Times New Roman" w:hAnsi="Bookman Old Style" w:cs="Arial"/>
          <w:i/>
          <w:sz w:val="28"/>
          <w:szCs w:val="28"/>
          <w:lang w:eastAsia="es-ES"/>
        </w:rPr>
        <w:t xml:space="preserve">ad sustanciam actus, </w:t>
      </w:r>
      <w:r w:rsidRPr="00C028BE">
        <w:rPr>
          <w:rFonts w:ascii="Bookman Old Style" w:eastAsia="Times New Roman" w:hAnsi="Bookman Old Style" w:cs="Arial"/>
          <w:sz w:val="28"/>
          <w:szCs w:val="28"/>
          <w:lang w:eastAsia="es-ES"/>
        </w:rPr>
        <w:t xml:space="preserve">formalidad impuesta por el derecho para la constitución del negocio, que van más allá de fungir como medio de prueba por ser esenciales para su existencia misma. (iv) Por último, la sanción que se comenta se produce cuando el acuerdo se celebra entre personas </w:t>
      </w:r>
      <w:r w:rsidRPr="00C028BE">
        <w:rPr>
          <w:rFonts w:ascii="Bookman Old Style" w:eastAsia="Times New Roman" w:hAnsi="Bookman Old Style" w:cs="Arial"/>
          <w:b/>
          <w:sz w:val="28"/>
          <w:szCs w:val="28"/>
          <w:lang w:eastAsia="es-ES"/>
        </w:rPr>
        <w:t>incapaces absolutamente</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4. A criterio de la Sala el punto de desacuerdo entre las partes de este proceso radica en si las escrituras públicas 3491 del 18 de junio de 2008 y 847 de 20 de febrero de 2009, tuvieron por finalidad corregir simples errores aritméticos del bien inmueble objeto de controversia con base en una decisión judicial, o si por el contrario, involucraron una alteración de la heredad que se dijo esclarecer en dimensiones y linderos; caso último en el cual frente a la omisión de los requisitos que el ordenamiento jurídico impone para su otorgamiento e inscripción posterior, se pretende la declaración de nulidad absoluta.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5. La primera de las documentales materia de discusión consagró explícitamente</w:t>
      </w:r>
      <w:r w:rsidR="00F05EE5">
        <w:rPr>
          <w:rFonts w:ascii="Bookman Old Style" w:eastAsia="Times New Roman" w:hAnsi="Bookman Old Style" w:cs="Arial"/>
          <w:sz w:val="28"/>
          <w:szCs w:val="28"/>
          <w:lang w:eastAsia="es-ES"/>
        </w:rPr>
        <w:t xml:space="preserve">, como apoyo de la solicitud de aclaración de medidas por corrección de simples errores aritméticos: </w:t>
      </w:r>
      <w:r w:rsidRPr="00C028BE">
        <w:rPr>
          <w:rFonts w:ascii="Bookman Old Style" w:eastAsia="Times New Roman" w:hAnsi="Bookman Old Style" w:cs="Arial"/>
          <w:sz w:val="28"/>
          <w:szCs w:val="28"/>
          <w:lang w:eastAsia="es-ES"/>
        </w:rPr>
        <w:t>“</w:t>
      </w:r>
      <w:r w:rsidRPr="00C028BE">
        <w:rPr>
          <w:rFonts w:ascii="Bookman Old Style" w:eastAsia="Times New Roman" w:hAnsi="Bookman Old Style" w:cs="Arial"/>
          <w:i/>
          <w:sz w:val="28"/>
          <w:szCs w:val="28"/>
          <w:lang w:eastAsia="es-ES"/>
        </w:rPr>
        <w:t xml:space="preserve">SEGUNDO: Que los comparecientes manifiestan que el mencionado inmueble se formó, como producto del englobe efectuado mediante sentencia de fecha 4 de agosto de 1995 proferida por el Juzgado Sexto de Familia de Bogotá, dentro del proceso de sucesión del señor LEOPOLDO POVEDA GALÁN, siendo los inmuebles englobados los siguientes. 1.- LA COMPAÑÍA (…) 2.- LOS LAURELES y 3.- LA ÑAPA (…) Las extensiones de cada uno de los inmuebles señalados se </w:t>
      </w:r>
      <w:r w:rsidRPr="00C028BE">
        <w:rPr>
          <w:rFonts w:ascii="Bookman Old Style" w:eastAsia="Times New Roman" w:hAnsi="Bookman Old Style" w:cs="Arial"/>
          <w:i/>
          <w:sz w:val="28"/>
          <w:szCs w:val="28"/>
          <w:lang w:eastAsia="es-ES"/>
        </w:rPr>
        <w:lastRenderedPageBreak/>
        <w:t>pueden apreciar al examinarse las matrículas inmobiliarias que los identifican, a saber: 50N-87725, 50N-87726 y 50N-340515.</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i/>
          <w:sz w:val="28"/>
          <w:szCs w:val="28"/>
          <w:lang w:eastAsia="es-ES"/>
        </w:rPr>
        <w:t xml:space="preserve">TERCERO: Que </w:t>
      </w:r>
      <w:r w:rsidRPr="00C028BE">
        <w:rPr>
          <w:rFonts w:ascii="Bookman Old Style" w:eastAsia="Times New Roman" w:hAnsi="Bookman Old Style" w:cs="Arial"/>
          <w:i/>
          <w:sz w:val="28"/>
          <w:szCs w:val="28"/>
          <w:u w:val="single"/>
          <w:lang w:eastAsia="es-ES"/>
        </w:rPr>
        <w:t>los comparecientes proceden mediante el presente instrumento a hacer claridad en cuanto a actualizar en el folio de matrícula inmobiliaria número 50N 20368431, que el área del globo resultante del englobe antes mencionado, señalado en la cláusula primera de este instrumento, identificado con matrícula inmobiliaria número 50N 20368431, del cual son los comparecientes actuales titulares del derecho, corresponde a (54 Ha 4160M2), el cual se obtiene a través de una simple operación aritmética, consistente en sumar las extensiones de los tres lotes englobados antes aludidos que lo conforman</w:t>
      </w:r>
      <w:r w:rsidRPr="00C028BE">
        <w:rPr>
          <w:rFonts w:ascii="Bookman Old Style" w:eastAsia="Times New Roman" w:hAnsi="Bookman Old Style" w:cs="Arial"/>
          <w:i/>
          <w:sz w:val="28"/>
          <w:szCs w:val="28"/>
          <w:lang w:eastAsia="es-ES"/>
        </w:rPr>
        <w:t>”.</w:t>
      </w:r>
      <w:r w:rsidRPr="00C028BE">
        <w:rPr>
          <w:rFonts w:ascii="Bookman Old Style" w:eastAsia="Times New Roman" w:hAnsi="Bookman Old Style" w:cs="Arial"/>
          <w:sz w:val="28"/>
          <w:szCs w:val="28"/>
          <w:lang w:eastAsia="es-ES"/>
        </w:rPr>
        <w:t>(Subraya la Sala).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La segunda escritura, por su parte, según se lee en los folios 353 a 355, “</w:t>
      </w:r>
      <w:r w:rsidRPr="00C028BE">
        <w:rPr>
          <w:rFonts w:ascii="Bookman Old Style" w:eastAsia="Times New Roman" w:hAnsi="Bookman Old Style" w:cs="Arial"/>
          <w:i/>
          <w:sz w:val="28"/>
          <w:szCs w:val="28"/>
          <w:lang w:eastAsia="es-ES"/>
        </w:rPr>
        <w:t>por la cual se ordena unos cambios en el catastro del Municipio de Guatavita</w:t>
      </w:r>
      <w:r w:rsidRPr="00C028BE">
        <w:rPr>
          <w:rFonts w:ascii="Bookman Old Style" w:eastAsia="Times New Roman" w:hAnsi="Bookman Old Style" w:cs="Arial"/>
          <w:sz w:val="28"/>
          <w:szCs w:val="28"/>
          <w:lang w:eastAsia="es-ES"/>
        </w:rPr>
        <w:t>” específicamente tuvo por objeto, “</w:t>
      </w:r>
      <w:r w:rsidRPr="00C028BE">
        <w:rPr>
          <w:rFonts w:ascii="Bookman Old Style" w:eastAsia="Times New Roman" w:hAnsi="Bookman Old Style" w:cs="Arial"/>
          <w:i/>
          <w:sz w:val="28"/>
          <w:szCs w:val="28"/>
          <w:u w:val="single"/>
          <w:lang w:eastAsia="es-ES"/>
        </w:rPr>
        <w:t xml:space="preserve">ratificar el área total del predio </w:t>
      </w:r>
      <w:r w:rsidRPr="00C028BE">
        <w:rPr>
          <w:rFonts w:ascii="Bookman Old Style" w:eastAsia="Times New Roman" w:hAnsi="Bookman Old Style" w:cs="Arial"/>
          <w:i/>
          <w:sz w:val="28"/>
          <w:szCs w:val="28"/>
          <w:lang w:eastAsia="es-ES"/>
        </w:rPr>
        <w:t xml:space="preserve">denominado EL ENCERRADO” </w:t>
      </w:r>
      <w:r w:rsidRPr="00C028BE">
        <w:rPr>
          <w:rFonts w:ascii="Bookman Old Style" w:eastAsia="Times New Roman" w:hAnsi="Bookman Old Style" w:cs="Arial"/>
          <w:sz w:val="28"/>
          <w:szCs w:val="28"/>
          <w:lang w:eastAsia="es-ES"/>
        </w:rPr>
        <w:t>(Subraya la Sala), de propiedad de los señores JAIME TORRES GONZÁLEZ y YUMNA SEFAIR SILVA, documento este elevado con posterioridad a la rectificación que hizo el Instituto Geográfico Agustín Codazzi del fundo, conforme dimana de la Resolución 25-236-0034 de 30 de julio de 2008 (folio 91).</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6. La desprevenida revisión de las manifestaciones trasuntadas incorporadas en esos instrumentos develan que, acorde con su sentido literal, las mismas pretendieron validar </w:t>
      </w:r>
      <w:r w:rsidRPr="00C028BE">
        <w:rPr>
          <w:rFonts w:ascii="Bookman Old Style" w:eastAsia="Times New Roman" w:hAnsi="Bookman Old Style" w:cs="Arial"/>
          <w:sz w:val="28"/>
          <w:szCs w:val="28"/>
          <w:lang w:eastAsia="es-ES"/>
        </w:rPr>
        <w:lastRenderedPageBreak/>
        <w:t>la real y correcta superficie que reseñaron tenía el predio, a partir de un mandato judicial emanado del Juzgado Sexto de Familia de Bogotá.</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7. Desde la visión de las exigencias de forma que, </w:t>
      </w:r>
      <w:r w:rsidRPr="00C028BE">
        <w:rPr>
          <w:rFonts w:ascii="Bookman Old Style" w:eastAsia="Times New Roman" w:hAnsi="Bookman Old Style" w:cs="Arial"/>
          <w:i/>
          <w:sz w:val="28"/>
          <w:szCs w:val="28"/>
          <w:lang w:eastAsia="es-ES"/>
        </w:rPr>
        <w:t xml:space="preserve">prima facie </w:t>
      </w:r>
      <w:r w:rsidRPr="00C028BE">
        <w:rPr>
          <w:rFonts w:ascii="Bookman Old Style" w:eastAsia="Times New Roman" w:hAnsi="Bookman Old Style" w:cs="Arial"/>
          <w:sz w:val="28"/>
          <w:szCs w:val="28"/>
          <w:lang w:eastAsia="es-ES"/>
        </w:rPr>
        <w:t>se ordena para la corrección de una  escritura pública, ya con la intención de solucionar errores simples o aritméticos, ya para modificar medidas, linderos, o aspectos de fondo, los artículos 102 y 103 del Decreto 960 de 1970, y 49 del Decreto 2148, establecen lo siguiente: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bookmarkStart w:id="1" w:name="102"/>
      <w:r w:rsidRPr="00C028BE">
        <w:rPr>
          <w:rFonts w:ascii="Bookman Old Style" w:eastAsia="Times New Roman" w:hAnsi="Bookman Old Style" w:cs="Arial"/>
          <w:b/>
          <w:bCs/>
          <w:i/>
          <w:sz w:val="24"/>
          <w:szCs w:val="24"/>
          <w:lang w:eastAsia="es-ES"/>
        </w:rPr>
        <w:t>“ARTICULO 102. CORRECCIÓN DE ERRORES DESPUÉS DE LA FIRMA.</w:t>
      </w:r>
      <w:bookmarkEnd w:id="1"/>
      <w:r w:rsidRPr="00C028BE">
        <w:rPr>
          <w:rFonts w:ascii="Bookman Old Style" w:eastAsia="Times New Roman" w:hAnsi="Bookman Old Style" w:cs="Arial"/>
          <w:b/>
          <w:bCs/>
          <w:i/>
          <w:sz w:val="24"/>
          <w:szCs w:val="24"/>
          <w:lang w:eastAsia="es-ES"/>
        </w:rPr>
        <w:t xml:space="preserve"> </w:t>
      </w:r>
      <w:r w:rsidRPr="00C028BE">
        <w:rPr>
          <w:rFonts w:ascii="Bookman Old Style" w:eastAsia="Times New Roman" w:hAnsi="Bookman Old Style" w:cs="Arial"/>
          <w:i/>
          <w:sz w:val="24"/>
          <w:szCs w:val="24"/>
          <w:lang w:eastAsia="es-ES"/>
        </w:rPr>
        <w:t>Una vez autorizada la escritura, cualquier corrección que quisieren hacer los otorgantes deberá consignarse en instrumentos separados con todas las formalidades necesarias y por todas las personas que intervinieron en el instrumento corregido, debiéndose tomar nota en éste de la escritura de corrección.</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b/>
          <w:bCs/>
          <w:i/>
          <w:sz w:val="24"/>
          <w:szCs w:val="24"/>
          <w:lang w:eastAsia="es-ES"/>
        </w:rPr>
      </w:pPr>
      <w:bookmarkStart w:id="2" w:name="103"/>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b/>
          <w:bCs/>
          <w:i/>
          <w:sz w:val="24"/>
          <w:szCs w:val="24"/>
          <w:lang w:eastAsia="es-ES"/>
        </w:rPr>
        <w:t>ARTICULO 103. ERRORES ARITMÉTICOS Y NUMÉRICOS.</w:t>
      </w:r>
      <w:bookmarkEnd w:id="2"/>
      <w:r w:rsidRPr="00C028BE">
        <w:rPr>
          <w:rFonts w:ascii="Bookman Old Style" w:eastAsia="Times New Roman" w:hAnsi="Bookman Old Style" w:cs="Arial"/>
          <w:i/>
          <w:sz w:val="24"/>
          <w:szCs w:val="24"/>
          <w:lang w:eastAsia="es-ES"/>
        </w:rPr>
        <w:t> Sin embargo, los errores puramente aritméticos podrán ser corregidos en cualquier tiempo si los factores que los determinan se hallaren claramente establecidos en el propio instrumento. La cifra aritméticamente verdadera se pondrá en sustitución de la errónea, de la manera y por los trámites indicados en el artículo </w:t>
      </w:r>
      <w:hyperlink r:id="rId7" w:anchor="101" w:history="1">
        <w:r w:rsidRPr="00C028BE">
          <w:rPr>
            <w:rFonts w:ascii="Bookman Old Style" w:eastAsia="Times New Roman" w:hAnsi="Bookman Old Style" w:cs="Arial"/>
            <w:i/>
            <w:color w:val="0563C1" w:themeColor="hyperlink"/>
            <w:sz w:val="24"/>
            <w:szCs w:val="24"/>
            <w:u w:val="single"/>
            <w:lang w:eastAsia="es-ES"/>
          </w:rPr>
          <w:t>101</w:t>
        </w:r>
      </w:hyperlink>
      <w:r w:rsidRPr="00C028BE">
        <w:rPr>
          <w:rFonts w:ascii="Bookman Old Style" w:eastAsia="Times New Roman" w:hAnsi="Bookman Old Style" w:cs="Arial"/>
          <w:i/>
          <w:sz w:val="24"/>
          <w:szCs w:val="24"/>
          <w:lang w:eastAsia="es-ES"/>
        </w:rPr>
        <w:t>.</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Si se cometiere error en la nomenclatura, denominación o descripción de un inmueble o en la cita de su cédula o registro catastral, podrá corregirse mediante el otorgamiento de escritura aclaratoria suscrita por el actual titular del derecho, si de los comprobantes allegados a la escritura en que se cometió el error y de los títulos antecedentes apareciere el de manifiesto. De igual modo se procederá si el error se cometiere en relación con los nombres o apellidos de alguno de los otorgantes, considerando los documentos de identificación anotados en el mismo instrumento”.</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Courier New"/>
          <w:i/>
          <w:sz w:val="24"/>
          <w:szCs w:val="24"/>
          <w:lang w:val="es-CO" w:eastAsia="es-CO"/>
        </w:rPr>
      </w:pPr>
      <w:r w:rsidRPr="00C028BE">
        <w:rPr>
          <w:rFonts w:ascii="Bookman Old Style" w:eastAsia="Times New Roman" w:hAnsi="Bookman Old Style" w:cs="Courier New"/>
          <w:b/>
          <w:i/>
          <w:sz w:val="24"/>
          <w:szCs w:val="24"/>
          <w:lang w:val="es-CO" w:eastAsia="es-CO"/>
        </w:rPr>
        <w:t xml:space="preserve">ARTÍCULO 49. DE LA CORRECCIÓN DE ERRORES. </w:t>
      </w:r>
      <w:r w:rsidRPr="00C028BE">
        <w:rPr>
          <w:rFonts w:ascii="Bookman Old Style" w:eastAsia="Times New Roman" w:hAnsi="Bookman Old Style" w:cs="Courier New"/>
          <w:i/>
          <w:sz w:val="24"/>
          <w:szCs w:val="24"/>
          <w:lang w:val="es-CO" w:eastAsia="es-CO"/>
        </w:rPr>
        <w:t>Cuando se trate del  otorgamiento  de  escritura aclaratoria  para  corrección  de  errores  en  la  nomenclatura, denominación  o  descripción  de un inmueble, en la  cita  de  su cédula o registro catastral, en la de sus títulos antecedentes  y de sus inscripciones en el registro, o en los nombres o apellidos de  los otorgantes,  podrá suscribirla  el  actual  titular  del derecho presentando los documentos con los cuales  acredite  tal calidad y el notario dejará constancia de ellos en la escritura.</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Courier New"/>
          <w:i/>
          <w:sz w:val="24"/>
          <w:szCs w:val="24"/>
          <w:lang w:val="es-CO" w:eastAsia="es-CO"/>
        </w:rPr>
        <w:t xml:space="preserve">El  error  en  los linderos que no configure  cambio  en  el objeto  el contrato,  se aclarará únicamente  con  base  en  los comprobantes allegados a la escritura en que se cometió el  error y en los títulos antecedentes en que apareciere él de manifiesto, mediante  escritura que podrá ser suscrita por el actual  titular del  derecho.  Si  el  error </w:t>
      </w:r>
      <w:r w:rsidRPr="00C028BE">
        <w:rPr>
          <w:rFonts w:ascii="Bookman Old Style" w:eastAsia="Times New Roman" w:hAnsi="Bookman Old Style" w:cs="Times New Roman"/>
          <w:i/>
          <w:sz w:val="24"/>
          <w:szCs w:val="24"/>
          <w:lang w:val="es-CO" w:eastAsia="es-CO"/>
        </w:rPr>
        <w:t xml:space="preserve">no  apareciere  de  manifiesto,  la escritura   de  aclaración  </w:t>
      </w:r>
      <w:r w:rsidRPr="00C028BE">
        <w:rPr>
          <w:rFonts w:ascii="Bookman Old Style" w:eastAsia="Times New Roman" w:hAnsi="Bookman Old Style" w:cs="Courier New"/>
          <w:i/>
          <w:sz w:val="24"/>
          <w:szCs w:val="24"/>
          <w:lang w:val="es-CO" w:eastAsia="es-CO"/>
        </w:rPr>
        <w:t xml:space="preserve">la escritura   de  aclaración  debe </w:t>
      </w:r>
      <w:r w:rsidRPr="00C028BE">
        <w:rPr>
          <w:rFonts w:ascii="Bookman Old Style" w:eastAsia="Times New Roman" w:hAnsi="Bookman Old Style" w:cs="Times New Roman"/>
          <w:i/>
          <w:sz w:val="24"/>
          <w:szCs w:val="24"/>
          <w:lang w:val="es-CO" w:eastAsia="es-CO"/>
        </w:rPr>
        <w:t xml:space="preserve">ser  suscrita  por  todos   los otorgantes de la que se corrige.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val="es-CO" w:eastAsia="es-ES"/>
        </w:rPr>
      </w:pPr>
      <w:r w:rsidRPr="00C028BE">
        <w:rPr>
          <w:rFonts w:ascii="Bookman Old Style" w:eastAsia="Times New Roman" w:hAnsi="Bookman Old Style" w:cs="Arial"/>
          <w:sz w:val="28"/>
          <w:szCs w:val="28"/>
          <w:lang w:eastAsia="es-ES"/>
        </w:rPr>
        <w:t>Obsérvese que la primera norma, de carácter general, obliga a realizar la nueva declaración en instrumento separado, con todas las formalidades y en presencia de todos los sujetos que participaron en la negociación inicial; la segunda, excepcionalmente, por el contrario, impone clarificar los desaciertos puramente aritméticos, si los factores que los determinan se hayan fácilmente explicados en el propio documento, relacionados con la descripción de la finca mediante la rúbrica de otro escrito por parte del actual titular del derecho; y el último precepto, a manera de reiteración de los anteriores, estipula que para aclaraciones de escrituras públicas, que no constituyan cambio en el objeto del contrato, podrá suscribirlo el nuevo titular</w:t>
      </w:r>
      <w:r w:rsidRPr="00C028BE">
        <w:rPr>
          <w:rFonts w:ascii="Bookman Old Style" w:eastAsia="Times New Roman" w:hAnsi="Bookman Old Style" w:cs="Arial"/>
          <w:sz w:val="28"/>
          <w:szCs w:val="28"/>
          <w:lang w:val="es-CO" w:eastAsia="es-ES"/>
        </w:rPr>
        <w:t xml:space="preserve"> presentando </w:t>
      </w:r>
      <w:r w:rsidRPr="00C028BE">
        <w:rPr>
          <w:rFonts w:ascii="Bookman Old Style" w:eastAsia="Times New Roman" w:hAnsi="Bookman Old Style" w:cs="Arial"/>
          <w:sz w:val="28"/>
          <w:szCs w:val="28"/>
          <w:lang w:val="es-CO" w:eastAsia="es-ES"/>
        </w:rPr>
        <w:lastRenderedPageBreak/>
        <w:t xml:space="preserve">los soportes que acrediten su calidad, lo mismo que los comprobantes allegados en que se cometió la equivocación y los títulos antecedentes en que aparecieren de manifiesto. Finaliza esta última regla reiterando que, si la equivocación no aparece de bulto, la nueva escritura deberá ser firmada por todos los otorgantes de la que se corrige.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val="es-CO"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val="es-CO" w:eastAsia="es-ES"/>
        </w:rPr>
      </w:pPr>
      <w:r w:rsidRPr="00C028BE">
        <w:rPr>
          <w:rFonts w:ascii="Bookman Old Style" w:eastAsia="Times New Roman" w:hAnsi="Bookman Old Style" w:cs="Arial"/>
          <w:sz w:val="28"/>
          <w:szCs w:val="28"/>
          <w:lang w:val="es-CO" w:eastAsia="es-ES"/>
        </w:rPr>
        <w:t xml:space="preserve">Quiere decir lo anterior que, en tratándose de simples errores que no alteran realmente el contenido esencial del instrumento, ellos pueden ser precisados mediante otro documento similar, informando la omisión con sus soportes y suscribiéndolo el propietario actual; empero, si la equivocación cometida afecta aspectos esenciales del contenido jurídico, su corrección debe hacerse con el sometimiento a los requerimientos señalados para la primera escritura y por las mismas partes que suscribieron aquella.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val="es-CO" w:eastAsia="es-ES"/>
        </w:rPr>
      </w:pPr>
    </w:p>
    <w:p w:rsidR="00C028BE" w:rsidRPr="00C028BE" w:rsidRDefault="00C028BE" w:rsidP="00C028BE">
      <w:pPr>
        <w:spacing w:after="0" w:line="360" w:lineRule="auto"/>
        <w:ind w:firstLine="708"/>
        <w:jc w:val="both"/>
        <w:rPr>
          <w:rFonts w:ascii="Bookman Old Style" w:eastAsia="Times New Roman" w:hAnsi="Bookman Old Style" w:cs="Arial"/>
          <w:sz w:val="28"/>
          <w:szCs w:val="28"/>
          <w:lang w:val="es-CO" w:eastAsia="es-ES"/>
        </w:rPr>
      </w:pPr>
      <w:r w:rsidRPr="00C028BE">
        <w:rPr>
          <w:rFonts w:ascii="Bookman Old Style" w:eastAsia="Times New Roman" w:hAnsi="Bookman Old Style" w:cs="Arial"/>
          <w:sz w:val="28"/>
          <w:szCs w:val="28"/>
          <w:lang w:val="es-CO" w:eastAsia="es-ES"/>
        </w:rPr>
        <w:t>8. La Superintendencia de Notariado y Registro expidió la Circular número 03 del 16 de mayo de 2007, vigente para la época de ocurrencia de los hechos acusados en este trámite, requiriendo a los Registradores tener el máximo cuidado en la etapa de calificación de inscripción de títulos, a efectos de que al hacer la anotación se tenga la certeza que el inmueble es el mismo que identifica el folio de matrícula. Y, respecto a instrumentos de aclaración y/o corrección, ordenó que:</w:t>
      </w:r>
    </w:p>
    <w:p w:rsidR="00C028BE" w:rsidRPr="00C028BE" w:rsidRDefault="00C028BE" w:rsidP="00F05EE5">
      <w:pPr>
        <w:spacing w:after="0" w:line="360" w:lineRule="auto"/>
        <w:jc w:val="both"/>
        <w:rPr>
          <w:rFonts w:ascii="Bookman Old Style" w:eastAsia="Times New Roman" w:hAnsi="Bookman Old Style" w:cs="Arial"/>
          <w:sz w:val="28"/>
          <w:szCs w:val="28"/>
          <w:lang w:val="es-CO" w:eastAsia="es-ES"/>
        </w:rPr>
      </w:pPr>
    </w:p>
    <w:p w:rsidR="00C028BE" w:rsidRPr="00C028BE" w:rsidRDefault="00C028BE" w:rsidP="00F05EE5">
      <w:pPr>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val="es-CO" w:eastAsia="es-ES"/>
        </w:rPr>
        <w:t>“</w:t>
      </w:r>
      <w:r w:rsidRPr="00C028BE">
        <w:rPr>
          <w:rFonts w:ascii="Bookman Old Style" w:eastAsia="Times New Roman" w:hAnsi="Bookman Old Style" w:cs="Arial"/>
          <w:i/>
          <w:sz w:val="24"/>
          <w:szCs w:val="24"/>
          <w:lang w:eastAsia="es-ES"/>
        </w:rPr>
        <w:t xml:space="preserve"> En tratándose de documentos que conlleven una modificación de área y linderos, siempre y cuando no sea producto de un error cometido al citarse el área en la escritura pública registrada o por </w:t>
      </w:r>
      <w:r w:rsidRPr="00C028BE">
        <w:rPr>
          <w:rFonts w:ascii="Bookman Old Style" w:eastAsia="Times New Roman" w:hAnsi="Bookman Old Style" w:cs="Arial"/>
          <w:i/>
          <w:sz w:val="24"/>
          <w:szCs w:val="24"/>
          <w:lang w:eastAsia="es-ES"/>
        </w:rPr>
        <w:lastRenderedPageBreak/>
        <w:t>registrar; el Registrador debe asegurarse que el título a inscribir sea una escritura de actualización de área y linderos, efectuada con fundamento en una decisión administrativa del Instituto Geográfico Agustín Codazzi o de la Oficina de  Catastro, según sea el caso, la cual debe estar debidamente protocolizada en la respectiva escritura…”</w:t>
      </w:r>
    </w:p>
    <w:p w:rsidR="00C028BE" w:rsidRPr="00C028BE" w:rsidRDefault="00C028BE" w:rsidP="00F05EE5">
      <w:pPr>
        <w:autoSpaceDE w:val="0"/>
        <w:autoSpaceDN w:val="0"/>
        <w:spacing w:after="0" w:line="360" w:lineRule="auto"/>
        <w:ind w:firstLine="708"/>
        <w:jc w:val="both"/>
        <w:rPr>
          <w:rFonts w:ascii="Bookman Old Style" w:eastAsia="Times New Roman" w:hAnsi="Bookman Old Style" w:cs="Arial"/>
          <w:sz w:val="28"/>
          <w:szCs w:val="28"/>
          <w:lang w:val="es-CO" w:eastAsia="es-ES"/>
        </w:rPr>
      </w:pPr>
      <w:r w:rsidRPr="00C028BE">
        <w:rPr>
          <w:rFonts w:ascii="Bookman Old Style" w:eastAsia="Times New Roman" w:hAnsi="Bookman Old Style" w:cs="Arial"/>
          <w:sz w:val="28"/>
          <w:szCs w:val="28"/>
          <w:lang w:val="es-CO" w:eastAsia="es-ES"/>
        </w:rPr>
        <w:t xml:space="preserve">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val="es-CO" w:eastAsia="es-ES"/>
        </w:rPr>
      </w:pPr>
      <w:r w:rsidRPr="00C028BE">
        <w:rPr>
          <w:rFonts w:ascii="Bookman Old Style" w:eastAsia="Times New Roman" w:hAnsi="Bookman Old Style" w:cs="Arial"/>
          <w:sz w:val="28"/>
          <w:szCs w:val="28"/>
          <w:lang w:val="es-CO" w:eastAsia="es-ES"/>
        </w:rPr>
        <w:t>Se desprende de lo anterior la necesidad de protocolizar junto con la escritura pública de corrección, el acto administrativo de la oficina de Agustín Codazzi que haya realizado el trámite correspondiente cuando de actualización y/o modificación de medidas y linderos se trate.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val="es-CO"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 9. Teniendo claro el marco jurídico que debe apoyar la decisión, se abordará a continuación el análisis de cada uno de los dislates atribuidos. Dentro del asunto materia de discusión, el inconforme, en rigor, protesta un error de hecho por la equivocada apreciación de la demanda y de unas pruebas.</w:t>
      </w:r>
    </w:p>
    <w:p w:rsidR="00C028BE" w:rsidRPr="00C028BE" w:rsidRDefault="00C028BE" w:rsidP="00C028BE">
      <w:pPr>
        <w:autoSpaceDE w:val="0"/>
        <w:autoSpaceDN w:val="0"/>
        <w:spacing w:before="240" w:after="0" w:line="360" w:lineRule="auto"/>
        <w:ind w:firstLine="709"/>
        <w:jc w:val="both"/>
        <w:rPr>
          <w:rFonts w:ascii="Bookman Old Style" w:eastAsia="Times New Roman" w:hAnsi="Bookman Old Style" w:cs="Arial"/>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10. Enunciada el tipo de falta imputada a la sentencia, se recuerda que el Tribunal confirmó la decisión del </w:t>
      </w:r>
      <w:r w:rsidRPr="00C028BE">
        <w:rPr>
          <w:rFonts w:ascii="Bookman Old Style" w:eastAsia="Times New Roman" w:hAnsi="Bookman Old Style" w:cs="Arial"/>
          <w:i/>
          <w:sz w:val="28"/>
          <w:szCs w:val="28"/>
          <w:lang w:eastAsia="es-ES"/>
        </w:rPr>
        <w:t>a quo</w:t>
      </w:r>
      <w:r w:rsidRPr="00C028BE">
        <w:rPr>
          <w:rFonts w:ascii="Bookman Old Style" w:eastAsia="Times New Roman" w:hAnsi="Bookman Old Style" w:cs="Arial"/>
          <w:sz w:val="28"/>
          <w:szCs w:val="28"/>
          <w:lang w:eastAsia="es-ES"/>
        </w:rPr>
        <w:t>, desestimatoria de las pretensiones incoadas, motivado en que las razones que estructuraron el ataque en las instancias no encuadran dentro de ninguna de las causales de nulidad absoluta.</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r w:rsidRPr="00C028BE">
        <w:rPr>
          <w:rFonts w:ascii="Bookman Old Style" w:eastAsia="Times New Roman" w:hAnsi="Bookman Old Style" w:cs="Arial"/>
          <w:sz w:val="28"/>
          <w:szCs w:val="28"/>
          <w:lang w:val="es-ES_tradnl" w:eastAsia="es-ES"/>
        </w:rPr>
        <w:t>11. La primera parte del reproche propuesto al fallo de segundo grado apuntalado en la modalidad de</w:t>
      </w:r>
      <w:r w:rsidR="00120EB6">
        <w:rPr>
          <w:rFonts w:ascii="Bookman Old Style" w:eastAsia="Times New Roman" w:hAnsi="Bookman Old Style" w:cs="Arial"/>
          <w:sz w:val="28"/>
          <w:szCs w:val="28"/>
          <w:lang w:val="es-ES_tradnl" w:eastAsia="es-ES"/>
        </w:rPr>
        <w:t>l</w:t>
      </w:r>
      <w:r w:rsidRPr="00C028BE">
        <w:rPr>
          <w:rFonts w:ascii="Bookman Old Style" w:eastAsia="Times New Roman" w:hAnsi="Bookman Old Style" w:cs="Arial"/>
          <w:sz w:val="28"/>
          <w:szCs w:val="28"/>
          <w:lang w:val="es-ES_tradnl" w:eastAsia="es-ES"/>
        </w:rPr>
        <w:t xml:space="preserve"> error mencionado, reclama que el juzgador de forma ostensible y </w:t>
      </w:r>
      <w:r w:rsidRPr="00C028BE">
        <w:rPr>
          <w:rFonts w:ascii="Bookman Old Style" w:eastAsia="Times New Roman" w:hAnsi="Bookman Old Style" w:cs="Arial"/>
          <w:sz w:val="28"/>
          <w:szCs w:val="28"/>
          <w:lang w:val="es-ES_tradnl" w:eastAsia="es-ES"/>
        </w:rPr>
        <w:lastRenderedPageBreak/>
        <w:t>manifiesta se equivocó al interpretar la demanda tergiversando completamente su genuino sentido, al no observar que lo pedido era la nulidad de dos escrituras públicas por la omisión de unas exigencias legales tratándose de la naturaleza del acto consignado en los instrumentos, consistentes en la actualización y posterior ratificación de áreas de un bien  inmueble, “</w:t>
      </w:r>
      <w:r w:rsidRPr="00C028BE">
        <w:rPr>
          <w:rFonts w:ascii="Bookman Old Style" w:eastAsia="Times New Roman" w:hAnsi="Bookman Old Style" w:cs="Arial"/>
          <w:i/>
          <w:sz w:val="28"/>
          <w:szCs w:val="28"/>
          <w:u w:val="single"/>
          <w:lang w:val="es-ES_tradnl" w:eastAsia="es-ES"/>
        </w:rPr>
        <w:t>con el agravante de que ello sirvió de soporte a la variación unilateral de linderos obtenida del IGAC a costa del predio LOURDES de propiedad de los demandantes</w:t>
      </w:r>
      <w:r w:rsidRPr="00C028BE">
        <w:rPr>
          <w:rFonts w:ascii="Bookman Old Style" w:eastAsia="Times New Roman" w:hAnsi="Bookman Old Style" w:cs="Arial"/>
          <w:sz w:val="28"/>
          <w:szCs w:val="28"/>
          <w:lang w:val="es-ES_tradnl" w:eastAsia="es-ES"/>
        </w:rPr>
        <w:t>”. (Se subraya).</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val="es-ES_tradnl"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val="es-ES_tradnl" w:eastAsia="es-ES"/>
        </w:rPr>
        <w:t>11</w:t>
      </w:r>
      <w:r w:rsidRPr="00C028BE">
        <w:rPr>
          <w:rFonts w:ascii="Bookman Old Style" w:eastAsia="Times New Roman" w:hAnsi="Bookman Old Style" w:cs="Arial"/>
          <w:sz w:val="28"/>
          <w:szCs w:val="28"/>
          <w:lang w:eastAsia="es-ES"/>
        </w:rPr>
        <w:t>.1 Ese particular desatino debe ser de tal magnitud que incida significativamente en la forma como se resolvió el debate, al producir un resultado contrario a la realidad procesal, dejando por fuera los planteamientos de la cuestión litigiosa que no alcanzan a derrumbar lo resuelto, dada la presunción de legalidad y tino con que arriba a la Corte.</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  Al respecto, ha señalado </w:t>
      </w:r>
      <w:smartTag w:uri="urn:schemas-microsoft-com:office:smarttags" w:element="PersonName">
        <w:smartTagPr>
          <w:attr w:name="ProductID" w:val="la Sala"/>
        </w:smartTagPr>
        <w:r w:rsidRPr="00C028BE">
          <w:rPr>
            <w:rFonts w:ascii="Bookman Old Style" w:eastAsia="Times New Roman" w:hAnsi="Bookman Old Style" w:cs="Arial"/>
            <w:sz w:val="28"/>
            <w:szCs w:val="28"/>
            <w:lang w:eastAsia="es-ES"/>
          </w:rPr>
          <w:t>la Sala</w:t>
        </w:r>
      </w:smartTag>
      <w:r w:rsidRPr="00C028BE">
        <w:rPr>
          <w:rFonts w:ascii="Bookman Old Style" w:eastAsia="Times New Roman" w:hAnsi="Bookman Old Style" w:cs="Arial"/>
          <w:sz w:val="28"/>
          <w:szCs w:val="28"/>
          <w:lang w:eastAsia="es-ES"/>
        </w:rPr>
        <w:t xml:space="preserve"> que,</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4"/>
          <w:szCs w:val="24"/>
          <w:lang w:eastAsia="es-ES"/>
        </w:rPr>
      </w:pPr>
    </w:p>
    <w:p w:rsidR="00C028BE" w:rsidRPr="00C028BE" w:rsidRDefault="00C028BE" w:rsidP="00C028BE">
      <w:pPr>
        <w:keepNext/>
        <w:autoSpaceDE w:val="0"/>
        <w:autoSpaceDN w:val="0"/>
        <w:adjustRightInd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 xml:space="preserve">“(…) la apreciación errónea de una demanda constituye motivo determinante de la casación de un fallo proferido por la jurisdicción civil, habida consideración que adoleciendo este último de un defecto de tal naturaleza, la decisión adoptada dirimirá el conflicto con apoyo en reglas de derecho sustancial que le son extrañas y, por consecuencia, habrá dejado de aplicar las que son pertinentes para regularlo. </w:t>
      </w:r>
    </w:p>
    <w:p w:rsidR="00C028BE" w:rsidRPr="00C028BE" w:rsidRDefault="00C028BE" w:rsidP="00C028BE">
      <w:pPr>
        <w:keepNext/>
        <w:autoSpaceDE w:val="0"/>
        <w:autoSpaceDN w:val="0"/>
        <w:adjustRightInd w:val="0"/>
        <w:spacing w:after="0" w:line="360" w:lineRule="auto"/>
        <w:ind w:left="708"/>
        <w:jc w:val="both"/>
        <w:rPr>
          <w:rFonts w:ascii="Bookman Old Style" w:eastAsia="Times New Roman" w:hAnsi="Bookman Old Style" w:cs="Arial"/>
          <w:i/>
          <w:sz w:val="24"/>
          <w:szCs w:val="24"/>
          <w:lang w:eastAsia="es-ES"/>
        </w:rPr>
      </w:pPr>
    </w:p>
    <w:p w:rsidR="00C028BE" w:rsidRPr="00C028BE" w:rsidRDefault="00C028BE" w:rsidP="00C028BE">
      <w:pPr>
        <w:keepNext/>
        <w:autoSpaceDE w:val="0"/>
        <w:autoSpaceDN w:val="0"/>
        <w:adjustRightInd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 xml:space="preserve">Pero es en verdad importante no perder de vista que al tenor de aquella disposición procesal, para que así sucedan las cosas y sea viable la infirmación por la causa aludida, deben reunirse varias </w:t>
      </w:r>
      <w:r w:rsidRPr="00C028BE">
        <w:rPr>
          <w:rFonts w:ascii="Bookman Old Style" w:eastAsia="Times New Roman" w:hAnsi="Bookman Old Style" w:cs="Arial"/>
          <w:i/>
          <w:sz w:val="24"/>
          <w:szCs w:val="24"/>
          <w:lang w:eastAsia="es-ES"/>
        </w:rPr>
        <w:lastRenderedPageBreak/>
        <w:t xml:space="preserve">condiciones que no siempre se dan con la facilidad que por lo común suponen los litigantes que al recurso en referencia acuden, residiendo una de ellas, como se sabe, en la necesaria ocurrencia de un genuino </w:t>
      </w:r>
      <w:r w:rsidRPr="00C028BE">
        <w:rPr>
          <w:rFonts w:ascii="Bookman Old Style" w:eastAsia="Times New Roman" w:hAnsi="Bookman Old Style" w:cs="Arial"/>
          <w:i/>
          <w:sz w:val="24"/>
          <w:szCs w:val="24"/>
          <w:u w:val="single"/>
          <w:lang w:eastAsia="es-ES"/>
        </w:rPr>
        <w:t>error de hecho que además de manifiesto e influyente en lo dispositivo de la resolución judicial por esta vía impugnada, ha de consistir en la desfiguración mental o material del escrito de demanda por falta de cuidadosa observación, capaz de producir por lo tanto una desviación ideológica del juez en relación con los elementos llamados a identificar el contenido medular de dicho escrito y respecto de los cuales ese funcionario no tiene atribución para suplir a las partes</w:t>
      </w:r>
      <w:r w:rsidRPr="00C028BE">
        <w:rPr>
          <w:rFonts w:ascii="Bookman Old Style" w:eastAsia="Times New Roman" w:hAnsi="Bookman Old Style" w:cs="Arial"/>
          <w:i/>
          <w:sz w:val="24"/>
          <w:szCs w:val="24"/>
          <w:lang w:eastAsia="es-ES"/>
        </w:rPr>
        <w:t xml:space="preserve"> (…) </w:t>
      </w:r>
    </w:p>
    <w:p w:rsidR="00C028BE" w:rsidRPr="00C028BE" w:rsidRDefault="00C028BE" w:rsidP="00C028BE">
      <w:pPr>
        <w:keepNext/>
        <w:autoSpaceDE w:val="0"/>
        <w:autoSpaceDN w:val="0"/>
        <w:adjustRightInd w:val="0"/>
        <w:spacing w:after="0" w:line="360" w:lineRule="auto"/>
        <w:ind w:left="708"/>
        <w:jc w:val="both"/>
        <w:rPr>
          <w:rFonts w:ascii="Bookman Old Style" w:eastAsia="Times New Roman" w:hAnsi="Bookman Old Style" w:cs="Arial"/>
          <w:i/>
          <w:sz w:val="24"/>
          <w:szCs w:val="24"/>
          <w:lang w:eastAsia="es-ES"/>
        </w:rPr>
      </w:pPr>
    </w:p>
    <w:p w:rsidR="00C028BE" w:rsidRPr="00C028BE" w:rsidRDefault="00C028BE" w:rsidP="00C028BE">
      <w:pPr>
        <w:keepNext/>
        <w:autoSpaceDE w:val="0"/>
        <w:autoSpaceDN w:val="0"/>
        <w:adjustRightInd w:val="0"/>
        <w:spacing w:after="0" w:line="360" w:lineRule="auto"/>
        <w:ind w:left="708"/>
        <w:jc w:val="both"/>
        <w:rPr>
          <w:rFonts w:ascii="Bookman Old Style" w:eastAsia="Times New Roman" w:hAnsi="Bookman Old Style" w:cs="Arial"/>
          <w:sz w:val="24"/>
          <w:szCs w:val="24"/>
          <w:lang w:eastAsia="es-ES"/>
        </w:rPr>
      </w:pPr>
      <w:r w:rsidRPr="00C028BE">
        <w:rPr>
          <w:rFonts w:ascii="Bookman Old Style" w:eastAsia="Times New Roman" w:hAnsi="Bookman Old Style" w:cs="Arial"/>
          <w:i/>
          <w:sz w:val="24"/>
          <w:szCs w:val="24"/>
          <w:u w:val="single"/>
          <w:lang w:eastAsia="es-ES"/>
        </w:rPr>
        <w:t>En otras palabras y en orden a que tengan relevancia para los fines señalados, la falencia de juzgamiento de la que viene haciendo mérito debe tener origen en un yerro objetivo que surgiendo de una desfiguración evidente y por eso mismo perceptible de manera intuitiva, vaya contra toda razón en cuanto que, tergiversando el texto de la demanda '...le hace decir lo que no expresa o le cercena su real contenido'</w:t>
      </w:r>
      <w:r w:rsidRPr="00C028BE">
        <w:rPr>
          <w:rFonts w:ascii="Bookman Old Style" w:eastAsia="Times New Roman" w:hAnsi="Bookman Old Style" w:cs="Arial"/>
          <w:i/>
          <w:sz w:val="24"/>
          <w:szCs w:val="24"/>
          <w:lang w:eastAsia="es-ES"/>
        </w:rPr>
        <w:t xml:space="preserve"> (G.J. t. CXXXIX, pág. 136) en lo que atañe a la causa pretendí hecha valer por el actor, el petitum por él formulado o la naturaleza jurídica de la pretensión concreta entablada”.</w:t>
      </w:r>
      <w:r w:rsidRPr="00C028BE">
        <w:rPr>
          <w:rFonts w:ascii="Bookman Old Style" w:eastAsia="Times New Roman" w:hAnsi="Bookman Old Style" w:cs="Arial"/>
          <w:sz w:val="24"/>
          <w:szCs w:val="24"/>
          <w:lang w:eastAsia="es-ES"/>
        </w:rPr>
        <w:t xml:space="preserve"> (CSJ SC 19 Oct. 1994, Rad. 3972. Reiterado en CSJ SC 18 Dic. 2013. Rad. 12000-01098-01). (Subraya fuera de texto).</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11.2 Una de las variantes de la causal primera de casación, contemplada en el artículo 368 del Código de Procedimiento Civil, gravita en la afectación de la ley sustancial en forma indirecta, por la ocurrencia de errores de facto al interpretar indebidamente la demanda.</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 xml:space="preserve">11.3 Según se expresó, las súplicas del presente caso incorporan en puridad, una reclamación tendiente a declarar nulos absolutamente dos instrumentos públicos </w:t>
      </w:r>
      <w:r w:rsidRPr="00C028BE">
        <w:rPr>
          <w:rFonts w:ascii="Bookman Old Style" w:eastAsia="Times New Roman" w:hAnsi="Bookman Old Style" w:cs="Arial"/>
          <w:bCs/>
          <w:i/>
          <w:sz w:val="28"/>
          <w:szCs w:val="28"/>
          <w:lang w:eastAsia="es-ES"/>
        </w:rPr>
        <w:t xml:space="preserve">“por no </w:t>
      </w:r>
      <w:r w:rsidRPr="00C028BE">
        <w:rPr>
          <w:rFonts w:ascii="Bookman Old Style" w:eastAsia="Times New Roman" w:hAnsi="Bookman Old Style" w:cs="Arial"/>
          <w:bCs/>
          <w:i/>
          <w:sz w:val="28"/>
          <w:szCs w:val="28"/>
          <w:lang w:eastAsia="es-ES"/>
        </w:rPr>
        <w:lastRenderedPageBreak/>
        <w:t xml:space="preserve">reunir los documentos necesarios que soportan técnica y jurídicamente la exigencia de esta clase de actos jurídicos y por tener un objeto y causa ilícita”; </w:t>
      </w:r>
      <w:r w:rsidRPr="00C028BE">
        <w:rPr>
          <w:rFonts w:ascii="Bookman Old Style" w:eastAsia="Times New Roman" w:hAnsi="Bookman Old Style" w:cs="Arial"/>
          <w:bCs/>
          <w:sz w:val="28"/>
          <w:szCs w:val="28"/>
          <w:lang w:eastAsia="es-ES"/>
        </w:rPr>
        <w:t>punto reiterado una vez más al finalizar su reproche: “</w:t>
      </w:r>
      <w:r w:rsidRPr="00C028BE">
        <w:rPr>
          <w:rFonts w:ascii="Bookman Old Style" w:eastAsia="Times New Roman" w:hAnsi="Bookman Old Style" w:cs="Arial"/>
          <w:bCs/>
          <w:i/>
          <w:sz w:val="28"/>
          <w:szCs w:val="28"/>
          <w:lang w:eastAsia="es-ES"/>
        </w:rPr>
        <w:t>el claro texto de los hechos y pretensiones</w:t>
      </w:r>
      <w:r w:rsidRPr="00C028BE">
        <w:rPr>
          <w:rFonts w:ascii="Bookman Old Style" w:eastAsia="Times New Roman" w:hAnsi="Bookman Old Style" w:cs="Arial"/>
          <w:bCs/>
          <w:sz w:val="28"/>
          <w:szCs w:val="28"/>
          <w:lang w:eastAsia="es-ES"/>
        </w:rPr>
        <w:t>”, advierte “</w:t>
      </w:r>
      <w:r w:rsidRPr="00C028BE">
        <w:rPr>
          <w:rFonts w:ascii="Bookman Old Style" w:eastAsia="Times New Roman" w:hAnsi="Bookman Old Style" w:cs="Arial"/>
          <w:bCs/>
          <w:i/>
          <w:sz w:val="28"/>
          <w:szCs w:val="28"/>
          <w:lang w:eastAsia="es-ES"/>
        </w:rPr>
        <w:t>la nulidad absoluta de las citadas escrituras públicas por la omisión de los requisitos previos y soportes, constitutivos de verdaderas formalidades exigidos en atención a la naturaleza del acto mediante el cual se procede a la corrección o actualización de áreas y determinación de linderos de inmuebles</w:t>
      </w:r>
      <w:r w:rsidRPr="00C028BE">
        <w:rPr>
          <w:rFonts w:ascii="Bookman Old Style" w:eastAsia="Times New Roman" w:hAnsi="Bookman Old Style" w:cs="Arial"/>
          <w:bCs/>
          <w:sz w:val="28"/>
          <w:szCs w:val="28"/>
          <w:lang w:eastAsia="es-ES"/>
        </w:rPr>
        <w:t>”.</w:t>
      </w:r>
    </w:p>
    <w:p w:rsidR="00120EB6" w:rsidRPr="00C028BE" w:rsidRDefault="00120EB6"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11.4 Contrastado el ataque con la providencia de segunda instancia y el libelo incoativo y su sustitución —última esta que se limitó a “</w:t>
      </w:r>
      <w:r w:rsidRPr="00C028BE">
        <w:rPr>
          <w:rFonts w:ascii="Bookman Old Style" w:eastAsia="Times New Roman" w:hAnsi="Bookman Old Style" w:cs="Arial"/>
          <w:bCs/>
          <w:i/>
          <w:sz w:val="28"/>
          <w:szCs w:val="28"/>
          <w:lang w:eastAsia="es-ES"/>
        </w:rPr>
        <w:t>incluir nuevas pruebas</w:t>
      </w:r>
      <w:r w:rsidRPr="00C028BE">
        <w:rPr>
          <w:rFonts w:ascii="Bookman Old Style" w:eastAsia="Times New Roman" w:hAnsi="Bookman Old Style" w:cs="Arial"/>
          <w:bCs/>
          <w:sz w:val="28"/>
          <w:szCs w:val="28"/>
          <w:lang w:eastAsia="es-ES"/>
        </w:rPr>
        <w:t xml:space="preserve">” (folio 534)— se encuentra que el Tribunal le dispensó una cabal hermenéutica al escrito introductor puesto que, el análisis de la sentencia combatida recoge un estudio vinculado a lo pedido en el proceso, por manera que </w:t>
      </w:r>
      <w:r w:rsidRPr="00C028BE">
        <w:rPr>
          <w:rFonts w:ascii="Bookman Old Style" w:eastAsia="Times New Roman" w:hAnsi="Bookman Old Style" w:cs="Arial"/>
          <w:bCs/>
          <w:i/>
          <w:sz w:val="28"/>
          <w:szCs w:val="28"/>
          <w:lang w:eastAsia="es-ES"/>
        </w:rPr>
        <w:t>ab initio</w:t>
      </w:r>
      <w:r w:rsidRPr="00C028BE">
        <w:rPr>
          <w:rFonts w:ascii="Bookman Old Style" w:eastAsia="Times New Roman" w:hAnsi="Bookman Old Style" w:cs="Arial"/>
          <w:bCs/>
          <w:sz w:val="28"/>
          <w:szCs w:val="28"/>
          <w:lang w:eastAsia="es-ES"/>
        </w:rPr>
        <w:t xml:space="preserve"> descarta cualquier reproche.</w:t>
      </w:r>
    </w:p>
    <w:p w:rsidR="00120EB6" w:rsidRDefault="00120EB6"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 xml:space="preserve">El fundamento del embate se soportó en que la Resolución mediante la cual el Instituto Geográfico Agustín Codazzi actualizó el área y los linderos del predio EL ENCERRADO de propiedad de los demandados se expidió con posterioridad a la firma de la escritura pública 3491, pues mientras que la segunda data del 18 de junio de 2008, el acto administrativo es del 30 de julio siguiente; siendo aquella una </w:t>
      </w:r>
      <w:r w:rsidRPr="00C028BE">
        <w:rPr>
          <w:rFonts w:ascii="Bookman Old Style" w:eastAsia="Times New Roman" w:hAnsi="Bookman Old Style" w:cs="Arial"/>
          <w:bCs/>
          <w:sz w:val="28"/>
          <w:szCs w:val="28"/>
          <w:lang w:eastAsia="es-ES"/>
        </w:rPr>
        <w:lastRenderedPageBreak/>
        <w:t xml:space="preserve">exigencia cuyo desconocimiento acarrea la nulidad absoluta conforme lo previene el artículo 1741 del Código Civil. </w:t>
      </w:r>
    </w:p>
    <w:p w:rsidR="00290C75" w:rsidRPr="00C028BE" w:rsidRDefault="00290C75"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 xml:space="preserve">11.5 El </w:t>
      </w:r>
      <w:r w:rsidRPr="00C028BE">
        <w:rPr>
          <w:rFonts w:ascii="Bookman Old Style" w:eastAsia="Times New Roman" w:hAnsi="Bookman Old Style" w:cs="Arial"/>
          <w:bCs/>
          <w:i/>
          <w:sz w:val="28"/>
          <w:szCs w:val="28"/>
          <w:lang w:eastAsia="es-ES"/>
        </w:rPr>
        <w:t>ad quem</w:t>
      </w:r>
      <w:r w:rsidRPr="00C028BE">
        <w:rPr>
          <w:rFonts w:ascii="Bookman Old Style" w:eastAsia="Times New Roman" w:hAnsi="Bookman Old Style" w:cs="Arial"/>
          <w:bCs/>
          <w:sz w:val="28"/>
          <w:szCs w:val="28"/>
          <w:lang w:eastAsia="es-ES"/>
        </w:rPr>
        <w:t xml:space="preserve"> entendió y puso al descubierto la aspiración ahora exteriorizada por la parte recurrente en casación, vale señalar, la anulación de los documentos escriturarios, amén de pronunciarse explícitamente sobre ella.</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 xml:space="preserve">En efecto, la sentencia, como se dijo en precedencia, previo a memorar algunos aspectos teóricos sobre el instituto de la nulidad, definición, origen, clasificación y regímenes aplicables en las materias civil y comercial, esbozó uno por uno los argumentos para negar las pretensiones incoadas, haciendo particular énfasis en que aquella actualización de áreas se produjo como consecuencia del fallo del Juzgado Sexto de Familia de Bogotá que aclara y adiciona la aprobación de la partición dentro del proceso de sucesión del causante LEOPOLDO POVEDA GALÁN, concluyendo que no se estructuraba ninguno de los motivos de nulidad absoluta contemplados en el precepto 1740, esto es objeto ilícito, causa ilícita, ausencia de solemnidades e incapacidad absoluta. </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Lo dejó sentado el órgano de segunda instancia en estos términos:</w:t>
      </w:r>
    </w:p>
    <w:p w:rsidR="00C028BE" w:rsidRPr="00C028BE" w:rsidRDefault="00C028BE" w:rsidP="00C028BE">
      <w:pPr>
        <w:keepNext/>
        <w:autoSpaceDE w:val="0"/>
        <w:autoSpaceDN w:val="0"/>
        <w:adjustRightInd w:val="0"/>
        <w:spacing w:after="0" w:line="360" w:lineRule="auto"/>
        <w:ind w:left="708"/>
        <w:jc w:val="both"/>
        <w:rPr>
          <w:rFonts w:ascii="Bookman Old Style" w:eastAsia="Times New Roman" w:hAnsi="Bookman Old Style" w:cs="Arial"/>
          <w:bCs/>
          <w:i/>
          <w:sz w:val="24"/>
          <w:szCs w:val="24"/>
          <w:lang w:eastAsia="es-ES"/>
        </w:rPr>
      </w:pPr>
    </w:p>
    <w:p w:rsidR="00C028BE" w:rsidRPr="00C028BE" w:rsidRDefault="00C028BE" w:rsidP="00C028BE">
      <w:pPr>
        <w:keepNext/>
        <w:autoSpaceDE w:val="0"/>
        <w:autoSpaceDN w:val="0"/>
        <w:adjustRightInd w:val="0"/>
        <w:spacing w:after="0" w:line="360" w:lineRule="auto"/>
        <w:ind w:left="708"/>
        <w:jc w:val="both"/>
        <w:rPr>
          <w:rFonts w:ascii="Bookman Old Style" w:eastAsia="Times New Roman" w:hAnsi="Bookman Old Style" w:cs="Arial"/>
          <w:bCs/>
          <w:i/>
          <w:sz w:val="24"/>
          <w:szCs w:val="24"/>
          <w:lang w:eastAsia="es-ES"/>
        </w:rPr>
      </w:pPr>
      <w:r w:rsidRPr="00C028BE">
        <w:rPr>
          <w:rFonts w:ascii="Bookman Old Style" w:eastAsia="Times New Roman" w:hAnsi="Bookman Old Style" w:cs="Arial"/>
          <w:bCs/>
          <w:i/>
          <w:sz w:val="24"/>
          <w:szCs w:val="24"/>
          <w:lang w:eastAsia="es-ES"/>
        </w:rPr>
        <w:t xml:space="preserve">“Por no encontrarse dentro de las específicas causales de nulidad absoluta, ninguna de las escrituras públicas atacadas, ya que no tienen objeto ilícito, ni causa ilícita, ni incurrieron en omisión de requisito o formalidad prescrito por la ley en consideración de la </w:t>
      </w:r>
      <w:r w:rsidRPr="00C028BE">
        <w:rPr>
          <w:rFonts w:ascii="Bookman Old Style" w:eastAsia="Times New Roman" w:hAnsi="Bookman Old Style" w:cs="Arial"/>
          <w:bCs/>
          <w:i/>
          <w:sz w:val="24"/>
          <w:szCs w:val="24"/>
          <w:lang w:eastAsia="es-ES"/>
        </w:rPr>
        <w:lastRenderedPageBreak/>
        <w:t>naturaleza misma del contrato, ni las partes que la otorgaron son incapaces absolutos, impera confirmar la sentencia de primer grado”.</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11.6 Habida cuenta de lo advertido, el análisis dispensado por el juzgador al escrito introductorio del que se duele la censura, no trasluce una equivocación en su apreciación conforme los lineamientos del artículo 368.1 del CPC; y, a pesar del esfuerzo argumentativo realizado por el recurrente al decir que “</w:t>
      </w:r>
      <w:r w:rsidRPr="00C028BE">
        <w:rPr>
          <w:rFonts w:ascii="Bookman Old Style" w:eastAsia="Times New Roman" w:hAnsi="Bookman Old Style" w:cs="Arial"/>
          <w:bCs/>
          <w:i/>
          <w:sz w:val="28"/>
          <w:szCs w:val="28"/>
          <w:lang w:eastAsia="es-ES"/>
        </w:rPr>
        <w:t xml:space="preserve">no atinó a ver que según el claro texto de los hechos y pretensiones, lo que se destaca es la nulidad absoluta de las citadas escrituras públicas”, </w:t>
      </w:r>
      <w:r w:rsidRPr="00C028BE">
        <w:rPr>
          <w:rFonts w:ascii="Bookman Old Style" w:eastAsia="Times New Roman" w:hAnsi="Bookman Old Style" w:cs="Arial"/>
          <w:bCs/>
          <w:sz w:val="28"/>
          <w:szCs w:val="28"/>
          <w:lang w:eastAsia="es-ES"/>
        </w:rPr>
        <w:t>tal circunstancia, que además fue lo toral de la Litis pues sobre ella se edificó, resultó enteramente comprendida y analizada, llegándose al colofón que no se estructuraron los motivos legales para declarar los instrumentos públicos inválidos absolutamente.</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Aunque el censor soporta su acusación en el desconocimiento del artículo 1741 del Estatuto Civil, por la omisión de los requisitos “</w:t>
      </w:r>
      <w:r w:rsidRPr="00C028BE">
        <w:rPr>
          <w:rFonts w:ascii="Bookman Old Style" w:eastAsia="Times New Roman" w:hAnsi="Bookman Old Style" w:cs="Arial"/>
          <w:bCs/>
          <w:i/>
          <w:sz w:val="28"/>
          <w:szCs w:val="28"/>
          <w:lang w:eastAsia="es-ES"/>
        </w:rPr>
        <w:t>que las leyes prescriben para el valor de ciertos actos o contratos</w:t>
      </w:r>
      <w:r w:rsidRPr="00C028BE">
        <w:rPr>
          <w:rFonts w:ascii="Bookman Old Style" w:eastAsia="Times New Roman" w:hAnsi="Bookman Old Style" w:cs="Arial"/>
          <w:bCs/>
          <w:sz w:val="28"/>
          <w:szCs w:val="28"/>
          <w:lang w:eastAsia="es-ES"/>
        </w:rPr>
        <w:t xml:space="preserve">”, aludiendo, entonces, a requerimientos de linaje </w:t>
      </w:r>
      <w:r w:rsidRPr="00C028BE">
        <w:rPr>
          <w:rFonts w:ascii="Bookman Old Style" w:eastAsia="Times New Roman" w:hAnsi="Bookman Old Style" w:cs="Arial"/>
          <w:bCs/>
          <w:i/>
          <w:sz w:val="28"/>
          <w:szCs w:val="28"/>
          <w:lang w:eastAsia="es-ES"/>
        </w:rPr>
        <w:t>ad sustanciam actus</w:t>
      </w:r>
      <w:r w:rsidRPr="00C028BE">
        <w:rPr>
          <w:rFonts w:ascii="Bookman Old Style" w:eastAsia="Times New Roman" w:hAnsi="Bookman Old Style" w:cs="Arial"/>
          <w:bCs/>
          <w:sz w:val="28"/>
          <w:szCs w:val="28"/>
          <w:lang w:eastAsia="es-ES"/>
        </w:rPr>
        <w:t xml:space="preserve">, lo cierto es que, de un lado, tales formalidades deben estar </w:t>
      </w:r>
      <w:r w:rsidR="00120EB6">
        <w:rPr>
          <w:rFonts w:ascii="Bookman Old Style" w:eastAsia="Times New Roman" w:hAnsi="Bookman Old Style" w:cs="Arial"/>
          <w:bCs/>
          <w:sz w:val="28"/>
          <w:szCs w:val="28"/>
          <w:lang w:eastAsia="es-ES"/>
        </w:rPr>
        <w:t xml:space="preserve">de manera </w:t>
      </w:r>
      <w:r w:rsidRPr="00C028BE">
        <w:rPr>
          <w:rFonts w:ascii="Bookman Old Style" w:eastAsia="Times New Roman" w:hAnsi="Bookman Old Style" w:cs="Arial"/>
          <w:bCs/>
          <w:sz w:val="28"/>
          <w:szCs w:val="28"/>
          <w:lang w:eastAsia="es-ES"/>
        </w:rPr>
        <w:t xml:space="preserve">expresa señaladas en las normas pertinentes; ejemplos hay cuando se exige de instrumento público para constituir usufructo sobre inmuebles (C.C Art. 826); para donar bienes raíces (Art. 1457 </w:t>
      </w:r>
      <w:r w:rsidRPr="00C028BE">
        <w:rPr>
          <w:rFonts w:ascii="Bookman Old Style" w:eastAsia="Times New Roman" w:hAnsi="Bookman Old Style" w:cs="Arial"/>
          <w:bCs/>
          <w:i/>
          <w:sz w:val="28"/>
          <w:szCs w:val="28"/>
          <w:lang w:eastAsia="es-ES"/>
        </w:rPr>
        <w:t>idem</w:t>
      </w:r>
      <w:r w:rsidRPr="00C028BE">
        <w:rPr>
          <w:rFonts w:ascii="Bookman Old Style" w:eastAsia="Times New Roman" w:hAnsi="Bookman Old Style" w:cs="Arial"/>
          <w:bCs/>
          <w:sz w:val="28"/>
          <w:szCs w:val="28"/>
          <w:lang w:eastAsia="es-ES"/>
        </w:rPr>
        <w:t xml:space="preserve">); para otorgar hipoteca (Art. 2434); para la renta vitalicia (Art. 2292). Lo propio ocurre  con formalidades como la que </w:t>
      </w:r>
      <w:r w:rsidRPr="00C028BE">
        <w:rPr>
          <w:rFonts w:ascii="Bookman Old Style" w:eastAsia="Times New Roman" w:hAnsi="Bookman Old Style" w:cs="Arial"/>
          <w:bCs/>
          <w:sz w:val="28"/>
          <w:szCs w:val="28"/>
          <w:lang w:eastAsia="es-ES"/>
        </w:rPr>
        <w:lastRenderedPageBreak/>
        <w:t>reclaman que la promesa de celebrar contrato sea por escrito (Art. 89 Ley 153 de 1887).</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El resultado de omitir tal rito, lo establece igualmente el mismo sistema, y debe ser también explícito, como lo hace el canon 1760 del citado ordenamiento al preceptuar: “</w:t>
      </w:r>
      <w:r w:rsidRPr="00C028BE">
        <w:rPr>
          <w:rFonts w:ascii="Bookman Old Style" w:eastAsia="Times New Roman" w:hAnsi="Bookman Old Style" w:cs="Arial"/>
          <w:bCs/>
          <w:i/>
          <w:sz w:val="28"/>
          <w:szCs w:val="28"/>
          <w:lang w:eastAsia="es-ES"/>
        </w:rPr>
        <w:t>la falta de instrumento público no puede suplirse por otra prueba en los actos y contratos en que la ley requiere esa solemnidad; y se mirarán como no ejecutados o celebrados aun cuando en ellos se prometa reducirlos a instrumento público (…)</w:t>
      </w:r>
      <w:r w:rsidRPr="00C028BE">
        <w:rPr>
          <w:rFonts w:ascii="Bookman Old Style" w:eastAsia="Times New Roman" w:hAnsi="Bookman Old Style" w:cs="Arial"/>
          <w:bCs/>
          <w:sz w:val="28"/>
          <w:szCs w:val="28"/>
          <w:lang w:eastAsia="es-ES"/>
        </w:rPr>
        <w:t>”.</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 xml:space="preserve">Es menester reiterar que, al valorarse el aspecto factual del debate, el </w:t>
      </w:r>
      <w:r w:rsidRPr="00C028BE">
        <w:rPr>
          <w:rFonts w:ascii="Bookman Old Style" w:eastAsia="Times New Roman" w:hAnsi="Bookman Old Style" w:cs="Arial"/>
          <w:bCs/>
          <w:i/>
          <w:sz w:val="28"/>
          <w:szCs w:val="28"/>
          <w:lang w:eastAsia="es-ES"/>
        </w:rPr>
        <w:t>ad quem</w:t>
      </w:r>
      <w:r w:rsidRPr="00C028BE">
        <w:rPr>
          <w:rFonts w:ascii="Bookman Old Style" w:eastAsia="Times New Roman" w:hAnsi="Bookman Old Style" w:cs="Arial"/>
          <w:bCs/>
          <w:sz w:val="28"/>
          <w:szCs w:val="28"/>
          <w:lang w:eastAsia="es-ES"/>
        </w:rPr>
        <w:t xml:space="preserve"> no echó de menos la exigencia relacionada con la </w:t>
      </w:r>
      <w:r w:rsidR="00120EB6">
        <w:rPr>
          <w:rFonts w:ascii="Bookman Old Style" w:eastAsia="Times New Roman" w:hAnsi="Bookman Old Style" w:cs="Arial"/>
          <w:bCs/>
          <w:sz w:val="28"/>
          <w:szCs w:val="28"/>
          <w:lang w:eastAsia="es-ES"/>
        </w:rPr>
        <w:t>resolución</w:t>
      </w:r>
      <w:r w:rsidRPr="00C028BE">
        <w:rPr>
          <w:rFonts w:ascii="Bookman Old Style" w:eastAsia="Times New Roman" w:hAnsi="Bookman Old Style" w:cs="Arial"/>
          <w:bCs/>
          <w:sz w:val="28"/>
          <w:szCs w:val="28"/>
          <w:lang w:eastAsia="es-ES"/>
        </w:rPr>
        <w:t xml:space="preserve"> de catastro porque, para él resultó suficiente la decisión judicial que sirvió como instrumento habilitante para actualizar los linderos de la heredad conocida como </w:t>
      </w:r>
      <w:r w:rsidRPr="00C028BE">
        <w:rPr>
          <w:rFonts w:ascii="Bookman Old Style" w:eastAsia="Times New Roman" w:hAnsi="Bookman Old Style" w:cs="Arial"/>
          <w:bCs/>
          <w:caps/>
          <w:sz w:val="28"/>
          <w:szCs w:val="28"/>
          <w:lang w:eastAsia="es-ES"/>
        </w:rPr>
        <w:t>el encerrrado</w:t>
      </w:r>
      <w:r w:rsidRPr="00C028BE">
        <w:rPr>
          <w:rFonts w:ascii="Bookman Old Style" w:eastAsia="Times New Roman" w:hAnsi="Bookman Old Style" w:cs="Arial"/>
          <w:bCs/>
          <w:sz w:val="28"/>
          <w:szCs w:val="28"/>
          <w:lang w:eastAsia="es-ES"/>
        </w:rPr>
        <w:t>; así lo entendió y discurrió en consecuencia.</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val="es-MX"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hAnsi="Bookman Old Style"/>
          <w:sz w:val="28"/>
          <w:szCs w:val="28"/>
          <w:lang w:val="es-MX"/>
        </w:rPr>
      </w:pPr>
      <w:r w:rsidRPr="00C028BE">
        <w:rPr>
          <w:rFonts w:ascii="Bookman Old Style" w:eastAsia="Times New Roman" w:hAnsi="Bookman Old Style" w:cs="Arial"/>
          <w:bCs/>
          <w:sz w:val="28"/>
          <w:szCs w:val="28"/>
          <w:lang w:val="es-MX" w:eastAsia="es-ES"/>
        </w:rPr>
        <w:t xml:space="preserve">De tal suerte, mal puede atribuirse un desatino en la interpretación de la demanda; menos aún cuando ese error sólo se configura si el sentenciador </w:t>
      </w:r>
      <w:r w:rsidRPr="00C028BE">
        <w:rPr>
          <w:rFonts w:ascii="Bookman Old Style" w:hAnsi="Bookman Old Style"/>
          <w:sz w:val="28"/>
          <w:szCs w:val="28"/>
          <w:lang w:val="es-MX"/>
        </w:rPr>
        <w:t>incurre en un protuberante u ostensible desliz, de manera que refulja la contrariedad de lo por él percibido o captado, con el contenido integral de aquella pieza procesal.</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11.7 De los elementos fácticos y probatorios se puede concluir que: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3218F7"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lastRenderedPageBreak/>
        <w:t xml:space="preserve">a.-) </w:t>
      </w:r>
      <w:r w:rsidR="003218F7">
        <w:rPr>
          <w:rFonts w:ascii="Bookman Old Style" w:eastAsia="Times New Roman" w:hAnsi="Bookman Old Style" w:cs="Arial"/>
          <w:sz w:val="28"/>
          <w:szCs w:val="28"/>
          <w:lang w:eastAsia="es-ES"/>
        </w:rPr>
        <w:t xml:space="preserve">El inmueble objeto de la </w:t>
      </w:r>
      <w:r w:rsidR="003218F7" w:rsidRPr="003218F7">
        <w:rPr>
          <w:rFonts w:ascii="Bookman Old Style" w:eastAsia="Times New Roman" w:hAnsi="Bookman Old Style" w:cs="Arial"/>
          <w:i/>
          <w:sz w:val="28"/>
          <w:szCs w:val="28"/>
          <w:lang w:eastAsia="es-ES"/>
        </w:rPr>
        <w:t xml:space="preserve">litis </w:t>
      </w:r>
      <w:r w:rsidR="003218F7">
        <w:rPr>
          <w:rFonts w:ascii="Bookman Old Style" w:eastAsia="Times New Roman" w:hAnsi="Bookman Old Style" w:cs="Arial"/>
          <w:sz w:val="28"/>
          <w:szCs w:val="28"/>
          <w:lang w:eastAsia="es-ES"/>
        </w:rPr>
        <w:t>se transfiri</w:t>
      </w:r>
      <w:r w:rsidR="00D24025">
        <w:rPr>
          <w:rFonts w:ascii="Bookman Old Style" w:eastAsia="Times New Roman" w:hAnsi="Bookman Old Style" w:cs="Arial"/>
          <w:sz w:val="28"/>
          <w:szCs w:val="28"/>
          <w:lang w:eastAsia="es-ES"/>
        </w:rPr>
        <w:t xml:space="preserve">ó </w:t>
      </w:r>
      <w:r w:rsidR="00290C75">
        <w:rPr>
          <w:rFonts w:ascii="Bookman Old Style" w:eastAsia="Times New Roman" w:hAnsi="Bookman Old Style" w:cs="Arial"/>
          <w:sz w:val="28"/>
          <w:szCs w:val="28"/>
          <w:lang w:eastAsia="es-ES"/>
        </w:rPr>
        <w:t>bajo la forma de</w:t>
      </w:r>
      <w:r w:rsidR="009F6866">
        <w:rPr>
          <w:rFonts w:ascii="Bookman Old Style" w:eastAsia="Times New Roman" w:hAnsi="Bookman Old Style" w:cs="Arial"/>
          <w:sz w:val="28"/>
          <w:szCs w:val="28"/>
          <w:lang w:eastAsia="es-ES"/>
        </w:rPr>
        <w:t xml:space="preserve"> cuerpo</w:t>
      </w:r>
      <w:r w:rsidR="00D24025">
        <w:rPr>
          <w:rFonts w:ascii="Bookman Old Style" w:eastAsia="Times New Roman" w:hAnsi="Bookman Old Style" w:cs="Arial"/>
          <w:sz w:val="28"/>
          <w:szCs w:val="28"/>
          <w:lang w:eastAsia="es-ES"/>
        </w:rPr>
        <w:t xml:space="preserve"> cierto;</w:t>
      </w:r>
      <w:r w:rsidR="003218F7">
        <w:rPr>
          <w:rFonts w:ascii="Bookman Old Style" w:eastAsia="Times New Roman" w:hAnsi="Bookman Old Style" w:cs="Arial"/>
          <w:sz w:val="28"/>
          <w:szCs w:val="28"/>
          <w:lang w:eastAsia="es-ES"/>
        </w:rPr>
        <w:t xml:space="preserve"> la operación no se hizo por cabida, es decir atendiendo como elemento esencial la extensión de la heredad (Art. 1887 y ss del C.C), según lo devela el contenido del contrato de permuta de 30 de julio de 2005 visible en las páginas 334 a 342 </w:t>
      </w:r>
      <w:r w:rsidR="00D24025">
        <w:rPr>
          <w:rFonts w:ascii="Bookman Old Style" w:eastAsia="Times New Roman" w:hAnsi="Bookman Old Style" w:cs="Arial"/>
          <w:sz w:val="28"/>
          <w:szCs w:val="28"/>
          <w:lang w:eastAsia="es-ES"/>
        </w:rPr>
        <w:t>d</w:t>
      </w:r>
      <w:r w:rsidR="003218F7">
        <w:rPr>
          <w:rFonts w:ascii="Bookman Old Style" w:eastAsia="Times New Roman" w:hAnsi="Bookman Old Style" w:cs="Arial"/>
          <w:sz w:val="28"/>
          <w:szCs w:val="28"/>
          <w:lang w:eastAsia="es-ES"/>
        </w:rPr>
        <w:t>el informativo.</w:t>
      </w:r>
    </w:p>
    <w:p w:rsidR="003218F7" w:rsidRDefault="003218F7" w:rsidP="003218F7">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 xml:space="preserve"> </w:t>
      </w:r>
    </w:p>
    <w:p w:rsidR="00C028BE" w:rsidRPr="00C028BE" w:rsidRDefault="003218F7"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 xml:space="preserve">b.-) </w:t>
      </w:r>
      <w:r w:rsidR="00C028BE" w:rsidRPr="00C028BE">
        <w:rPr>
          <w:rFonts w:ascii="Bookman Old Style" w:eastAsia="Times New Roman" w:hAnsi="Bookman Old Style" w:cs="Arial"/>
          <w:sz w:val="28"/>
          <w:szCs w:val="28"/>
          <w:lang w:eastAsia="es-ES"/>
        </w:rPr>
        <w:t>La EP 3491 del 18 de junio de 2008, tuvo por finalidad, según se desprende de su contenido literal, realizar una aclaración de errores aritméticos por parte de los propietarios del predio “EL ENCERRADO”, en virtud de la decisión judicial de complementación de sentencia de partición proferida por el Juzgado Sexto de Familia de la ciudad de Bogotá; siendo ello de esa manera, de conformidad con las normas transcritas en párrafos anteriores, es evidente que no era perentoria la exigencia de anexar un certificado catastral de modificación de medidas y linderos al referido instrumento. Bajo esas premisas la Oficina de Registro de Instrumentos Públicos no accedió a la reclamación, vía gubernativa, planteada por los actuales recurrentes.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Default="003218F7"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c</w:t>
      </w:r>
      <w:r w:rsidR="00C028BE" w:rsidRPr="00C028BE">
        <w:rPr>
          <w:rFonts w:ascii="Bookman Old Style" w:eastAsia="Times New Roman" w:hAnsi="Bookman Old Style" w:cs="Arial"/>
          <w:sz w:val="28"/>
          <w:szCs w:val="28"/>
          <w:lang w:eastAsia="es-ES"/>
        </w:rPr>
        <w:t xml:space="preserve">.-) </w:t>
      </w:r>
      <w:r w:rsidR="00120EB6">
        <w:rPr>
          <w:rFonts w:ascii="Bookman Old Style" w:eastAsia="Times New Roman" w:hAnsi="Bookman Old Style" w:cs="Arial"/>
          <w:sz w:val="28"/>
          <w:szCs w:val="28"/>
          <w:lang w:eastAsia="es-ES"/>
        </w:rPr>
        <w:t>D</w:t>
      </w:r>
      <w:r w:rsidR="00C028BE" w:rsidRPr="00C028BE">
        <w:rPr>
          <w:rFonts w:ascii="Bookman Old Style" w:eastAsia="Times New Roman" w:hAnsi="Bookman Old Style" w:cs="Arial"/>
          <w:sz w:val="28"/>
          <w:szCs w:val="28"/>
          <w:lang w:eastAsia="es-ES"/>
        </w:rPr>
        <w:t xml:space="preserve">eterminar si el contenido del título 3491 de 18 de junio de 2008, es una información falsa y errónea, por cuanto en realidad lo que se hizo fue una modificación en el área que por tanto exigía la protocolización, junto con la escritura pública del acto administrativo respectivo, escapa al ámbito de la nulidad absoluta deprecada, para entrar al estudio de la fuerza y efectos jurídicos otorgados por esa entidad a la providencia proferida por el Juez Sexto de Familia de la </w:t>
      </w:r>
      <w:r w:rsidR="00C028BE" w:rsidRPr="00C028BE">
        <w:rPr>
          <w:rFonts w:ascii="Bookman Old Style" w:eastAsia="Times New Roman" w:hAnsi="Bookman Old Style" w:cs="Arial"/>
          <w:sz w:val="28"/>
          <w:szCs w:val="28"/>
          <w:lang w:eastAsia="es-ES"/>
        </w:rPr>
        <w:lastRenderedPageBreak/>
        <w:t>capital,  al aceptar realizar la inscripción aludida sin ningún otro requerimiento.</w:t>
      </w:r>
    </w:p>
    <w:p w:rsidR="00120EB6" w:rsidRPr="00C028BE" w:rsidRDefault="00120EB6"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3218F7"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d.-</w:t>
      </w:r>
      <w:r w:rsidR="00C028BE" w:rsidRPr="00C028BE">
        <w:rPr>
          <w:rFonts w:ascii="Bookman Old Style" w:eastAsia="Times New Roman" w:hAnsi="Bookman Old Style" w:cs="Arial"/>
          <w:sz w:val="28"/>
          <w:szCs w:val="28"/>
          <w:lang w:eastAsia="es-ES"/>
        </w:rPr>
        <w:t>) Por el contrario, si los requisitos alegados son inobservados o se está modificando la heredad sin respaldo en orden administrativa catastral, como lo enseña la nueva Circular Conjunta del IGAG y la Superintendencia de Notariado y Registro de 20 de mayo de 2010, expedida justamente para gobernar “la actualización y/o aclaración para corrección de áreas y/o linderos de inmuebles”, que modificó la 03 del l6 de mayo de 2007, el Registrador deberá rechazar la inscripción con fundamento en las previsiones de los artículos 52 y 82 del Decreto-Ley 1250 de 1970, consecuencia aquella que también determina la normativa sustancial evocada como quebrantada por la vía indirecta (Art. 5º Decreto 1711 de 1984).</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3218F7"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val="es-MX" w:eastAsia="es-ES"/>
        </w:rPr>
      </w:pPr>
      <w:r>
        <w:rPr>
          <w:rFonts w:ascii="Bookman Old Style" w:eastAsia="Times New Roman" w:hAnsi="Bookman Old Style" w:cs="Arial"/>
          <w:sz w:val="28"/>
          <w:szCs w:val="28"/>
          <w:lang w:eastAsia="es-ES"/>
        </w:rPr>
        <w:t>e.-</w:t>
      </w:r>
      <w:r w:rsidR="00C028BE" w:rsidRPr="00C028BE">
        <w:rPr>
          <w:rFonts w:ascii="Bookman Old Style" w:eastAsia="Times New Roman" w:hAnsi="Bookman Old Style" w:cs="Arial"/>
          <w:sz w:val="28"/>
          <w:szCs w:val="28"/>
          <w:lang w:eastAsia="es-ES"/>
        </w:rPr>
        <w:t xml:space="preserve">) Aunado a lo anterior, delanteramente útil es destacar que, por girar la acusación sobre instrumentos respaldados en actos gubernativos dimanantes de la administración, si el error señalado refiere a la falsa manifestación de pretender corregir simples errores aritméticos y así acogerlo la entidad estatal, sería la jurisdicción contenciosa la llamada a realizar el control de legalidad sobre las decisiones tomadas en su caso, ya por la oficina del Registro, ya respecto de las </w:t>
      </w:r>
      <w:r w:rsidR="00C028BE" w:rsidRPr="00C028BE">
        <w:rPr>
          <w:rFonts w:ascii="Bookman Old Style" w:eastAsia="Times New Roman" w:hAnsi="Bookman Old Style" w:cs="Arial"/>
          <w:sz w:val="28"/>
          <w:szCs w:val="28"/>
          <w:lang w:eastAsia="es-ES"/>
        </w:rPr>
        <w:lastRenderedPageBreak/>
        <w:t>Resoluciones expedidas por el Instituto Geográfico Agustín Codazzi donde se rectifican superficies de predios.</w:t>
      </w:r>
    </w:p>
    <w:p w:rsidR="00120EB6" w:rsidRDefault="00120EB6" w:rsidP="00C028BE">
      <w:pPr>
        <w:keepNext/>
        <w:autoSpaceDE w:val="0"/>
        <w:autoSpaceDN w:val="0"/>
        <w:adjustRightInd w:val="0"/>
        <w:spacing w:after="0" w:line="360" w:lineRule="auto"/>
        <w:jc w:val="both"/>
        <w:rPr>
          <w:rFonts w:ascii="Bookman Old Style" w:eastAsia="Times New Roman" w:hAnsi="Bookman Old Style" w:cs="Arial"/>
          <w:bCs/>
          <w:sz w:val="28"/>
          <w:szCs w:val="28"/>
          <w:lang w:eastAsia="es-ES"/>
        </w:rPr>
      </w:pPr>
    </w:p>
    <w:p w:rsidR="00C028BE" w:rsidRPr="00C028BE" w:rsidRDefault="00C028BE" w:rsidP="00120EB6">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Corolario de lo anotado, el dislate atribuido no se configura.</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12. La otra parte de la acusación se hizo consistir en errores de facto por incorrecta apreciación de algunos de los elementos persuasivos adosados al plenario.</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El desatino por valoración errónea de los medios de convicción, </w:t>
      </w:r>
      <w:r w:rsidRPr="00C028BE">
        <w:rPr>
          <w:rFonts w:ascii="Bookman Old Style" w:eastAsia="Times New Roman" w:hAnsi="Bookman Old Style" w:cs="Arial"/>
          <w:iCs/>
          <w:sz w:val="28"/>
          <w:szCs w:val="28"/>
          <w:lang w:val="es-ES_tradnl" w:eastAsia="es-ES"/>
        </w:rPr>
        <w:t>recae sobre su contemplación física, material u objetiva, y ocurre por preterición, suposición, alteración o distorsión de su contenido en la medida que se atribuye un sentido distinto al que cumple dispensarles. Dicho de otra forma, la equivocación se produce cuando el juzgador «</w:t>
      </w:r>
      <w:r w:rsidRPr="00C028BE">
        <w:rPr>
          <w:rFonts w:ascii="Bookman Old Style" w:eastAsia="Times New Roman" w:hAnsi="Bookman Old Style" w:cs="Arial"/>
          <w:i/>
          <w:sz w:val="28"/>
          <w:szCs w:val="28"/>
          <w:lang w:eastAsia="es-ES"/>
        </w:rPr>
        <w:t xml:space="preserve">ha visto mucho o poco, ha inventado o mutilado pruebas; en fin, el problema es de desarreglos ópticos». </w:t>
      </w:r>
      <w:r w:rsidRPr="00C028BE">
        <w:rPr>
          <w:rFonts w:ascii="Bookman Old Style" w:eastAsia="Times New Roman" w:hAnsi="Bookman Old Style" w:cs="Arial"/>
          <w:sz w:val="28"/>
          <w:szCs w:val="28"/>
          <w:lang w:eastAsia="es-ES"/>
        </w:rPr>
        <w:t>(CSJ CS. Sentencia de 11 de mayo de 2004, Radicación n.  7661).</w:t>
      </w:r>
    </w:p>
    <w:p w:rsidR="00F05EE5" w:rsidRPr="00C028BE" w:rsidRDefault="00F05EE5"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En tal virtud, para que se presente, es necesario «</w:t>
      </w:r>
      <w:r w:rsidRPr="00C028BE">
        <w:rPr>
          <w:rFonts w:ascii="Bookman Old Style" w:eastAsia="Times New Roman" w:hAnsi="Bookman Old Style" w:cs="Arial"/>
          <w:bCs/>
          <w:i/>
          <w:sz w:val="28"/>
          <w:szCs w:val="28"/>
          <w:lang w:eastAsia="es-ES"/>
        </w:rPr>
        <w:t>que al primer golpe de vista ponga de manifiesto la contraevidencia de la determinación adoptada en el fallo combatido con la realidad que fluya del proceso»</w:t>
      </w:r>
      <w:r w:rsidRPr="00C028BE">
        <w:rPr>
          <w:rFonts w:ascii="Bookman Old Style" w:eastAsia="Times New Roman" w:hAnsi="Bookman Old Style" w:cs="Arial"/>
          <w:bCs/>
          <w:sz w:val="28"/>
          <w:szCs w:val="28"/>
          <w:lang w:eastAsia="es-ES"/>
        </w:rPr>
        <w:t xml:space="preserve"> (sentencia 146 de 17 de octubre de 2006, exp. 06798-01), «</w:t>
      </w:r>
      <w:r w:rsidRPr="00C028BE">
        <w:rPr>
          <w:rFonts w:ascii="Bookman Old Style" w:eastAsia="Times New Roman" w:hAnsi="Bookman Old Style" w:cs="Arial"/>
          <w:bCs/>
          <w:i/>
          <w:sz w:val="28"/>
          <w:szCs w:val="28"/>
          <w:lang w:eastAsia="es-ES"/>
        </w:rPr>
        <w:t xml:space="preserve">que repugna al buen juicio», </w:t>
      </w:r>
      <w:r w:rsidRPr="00C028BE">
        <w:rPr>
          <w:rFonts w:ascii="Bookman Old Style" w:eastAsia="Times New Roman" w:hAnsi="Bookman Old Style" w:cs="Arial"/>
          <w:bCs/>
          <w:sz w:val="28"/>
          <w:szCs w:val="28"/>
          <w:lang w:eastAsia="es-ES"/>
        </w:rPr>
        <w:t>es decir, que</w:t>
      </w:r>
      <w:r w:rsidRPr="00C028BE">
        <w:rPr>
          <w:rFonts w:ascii="Bookman Old Style" w:eastAsia="Times New Roman" w:hAnsi="Bookman Old Style" w:cs="Arial"/>
          <w:bCs/>
          <w:i/>
          <w:sz w:val="28"/>
          <w:szCs w:val="28"/>
          <w:lang w:eastAsia="es-ES"/>
        </w:rPr>
        <w:t xml:space="preserve"> «el fallador está convicto de contraevidencia»</w:t>
      </w:r>
      <w:r w:rsidRPr="00C028BE">
        <w:rPr>
          <w:rFonts w:ascii="Bookman Old Style" w:eastAsia="Times New Roman" w:hAnsi="Bookman Old Style" w:cs="Arial"/>
          <w:bCs/>
          <w:sz w:val="28"/>
          <w:szCs w:val="28"/>
          <w:lang w:eastAsia="es-ES"/>
        </w:rPr>
        <w:t xml:space="preserve"> (sentencias de 11 de julio de 1990 y 24 de enero de 1992), por violentar «</w:t>
      </w:r>
      <w:r w:rsidRPr="00C028BE">
        <w:rPr>
          <w:rFonts w:ascii="Bookman Old Style" w:eastAsia="Times New Roman" w:hAnsi="Bookman Old Style" w:cs="Arial"/>
          <w:bCs/>
          <w:i/>
          <w:sz w:val="28"/>
          <w:szCs w:val="28"/>
          <w:lang w:eastAsia="es-ES"/>
        </w:rPr>
        <w:t>la lógica o el buen sentido común»</w:t>
      </w:r>
      <w:r w:rsidRPr="00C028BE">
        <w:rPr>
          <w:rFonts w:ascii="Bookman Old Style" w:eastAsia="Times New Roman" w:hAnsi="Bookman Old Style" w:cs="Arial"/>
          <w:bCs/>
          <w:sz w:val="28"/>
          <w:szCs w:val="28"/>
          <w:lang w:eastAsia="es-ES"/>
        </w:rPr>
        <w:t xml:space="preserve"> (CCXXXI,644), «</w:t>
      </w:r>
      <w:r w:rsidRPr="00C028BE">
        <w:rPr>
          <w:rFonts w:ascii="Bookman Old Style" w:eastAsia="Times New Roman" w:hAnsi="Bookman Old Style" w:cs="Arial"/>
          <w:i/>
          <w:sz w:val="28"/>
          <w:szCs w:val="28"/>
          <w:lang w:eastAsia="es-ES"/>
        </w:rPr>
        <w:t xml:space="preserve">tan evidente, esto es, que nadie vacile en detectarlo, que cuando apenas se atisba como probable o posible, ya no </w:t>
      </w:r>
      <w:r w:rsidRPr="00C028BE">
        <w:rPr>
          <w:rFonts w:ascii="Bookman Old Style" w:eastAsia="Times New Roman" w:hAnsi="Bookman Old Style" w:cs="Arial"/>
          <w:i/>
          <w:sz w:val="28"/>
          <w:szCs w:val="28"/>
          <w:lang w:eastAsia="es-ES"/>
        </w:rPr>
        <w:lastRenderedPageBreak/>
        <w:t xml:space="preserve">alcanza para el éxito de la casación, porque, como lo tiene averiguado </w:t>
      </w:r>
      <w:smartTag w:uri="urn:schemas-microsoft-com:office:smarttags" w:element="PersonName">
        <w:smartTagPr>
          <w:attr w:name="ProductID" w:val="la Corte"/>
        </w:smartTagPr>
        <w:r w:rsidRPr="00C028BE">
          <w:rPr>
            <w:rFonts w:ascii="Bookman Old Style" w:eastAsia="Times New Roman" w:hAnsi="Bookman Old Style" w:cs="Arial"/>
            <w:i/>
            <w:sz w:val="28"/>
            <w:szCs w:val="28"/>
            <w:lang w:eastAsia="es-ES"/>
          </w:rPr>
          <w:t>la Corte</w:t>
        </w:r>
      </w:smartTag>
      <w:r w:rsidRPr="00C028BE">
        <w:rPr>
          <w:rFonts w:ascii="Bookman Old Style" w:eastAsia="Times New Roman" w:hAnsi="Bookman Old Style" w:cs="Arial"/>
          <w:i/>
          <w:sz w:val="28"/>
          <w:szCs w:val="28"/>
          <w:lang w:eastAsia="es-ES"/>
        </w:rPr>
        <w:t>, ‘la duda jamás sería apoyo razonable para desconocer los poderes discrecionales del sentenciador(XLV, 649)’…</w:t>
      </w:r>
      <w:r w:rsidRPr="00C028BE">
        <w:rPr>
          <w:rFonts w:ascii="Bookman Old Style" w:eastAsia="Times New Roman" w:hAnsi="Bookman Old Style" w:cs="Arial"/>
          <w:sz w:val="28"/>
          <w:szCs w:val="28"/>
          <w:lang w:eastAsia="es-ES"/>
        </w:rPr>
        <w:t xml:space="preserve">» </w:t>
      </w:r>
      <w:r w:rsidRPr="00C028BE">
        <w:rPr>
          <w:rFonts w:ascii="Bookman Old Style" w:eastAsia="Times New Roman" w:hAnsi="Bookman Old Style" w:cs="Arial"/>
          <w:sz w:val="28"/>
          <w:szCs w:val="28"/>
          <w:lang w:val="fr-FR" w:eastAsia="es-ES"/>
        </w:rPr>
        <w:t xml:space="preserve">(CCXXXI, p. 645. Reiterado en </w:t>
      </w:r>
      <w:r w:rsidRPr="00C028BE">
        <w:rPr>
          <w:rFonts w:ascii="Bookman Old Style" w:eastAsia="Times New Roman" w:hAnsi="Bookman Old Style" w:cs="Arial"/>
          <w:sz w:val="28"/>
          <w:szCs w:val="28"/>
          <w:lang w:eastAsia="es-ES"/>
        </w:rPr>
        <w:t xml:space="preserve">Cas. Civ. de 19 de mayo de 2011. Exp. 2006-00273-01). </w:t>
      </w:r>
    </w:p>
    <w:p w:rsidR="00C028BE" w:rsidRPr="00C028BE" w:rsidRDefault="00C028BE" w:rsidP="00C028BE">
      <w:pPr>
        <w:autoSpaceDE w:val="0"/>
        <w:autoSpaceDN w:val="0"/>
        <w:spacing w:after="0" w:line="360" w:lineRule="auto"/>
        <w:ind w:firstLine="1440"/>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iCs/>
          <w:sz w:val="28"/>
          <w:szCs w:val="28"/>
          <w:lang w:val="es-ES_tradnl" w:eastAsia="es-ES"/>
        </w:rPr>
        <w:t xml:space="preserve">Por ello, la </w:t>
      </w:r>
      <w:r w:rsidRPr="00C028BE">
        <w:rPr>
          <w:rFonts w:ascii="Bookman Old Style" w:eastAsia="Times New Roman" w:hAnsi="Bookman Old Style" w:cs="Arial"/>
          <w:sz w:val="28"/>
          <w:szCs w:val="28"/>
          <w:lang w:eastAsia="es-ES"/>
        </w:rPr>
        <w:t>imputación debe contener «</w:t>
      </w:r>
      <w:r w:rsidRPr="00C028BE">
        <w:rPr>
          <w:rFonts w:ascii="Bookman Old Style" w:eastAsia="Times New Roman" w:hAnsi="Bookman Old Style" w:cs="Arial"/>
          <w:bCs/>
          <w:sz w:val="28"/>
          <w:szCs w:val="28"/>
          <w:lang w:eastAsia="es-ES"/>
        </w:rPr>
        <w:t>argumentos incontestables» (Sent. cas. civ. 22 de octubre de 1998), «</w:t>
      </w:r>
      <w:r w:rsidRPr="00C028BE">
        <w:rPr>
          <w:rFonts w:ascii="Bookman Old Style" w:eastAsia="Times New Roman" w:hAnsi="Bookman Old Style" w:cs="Arial"/>
          <w:i/>
          <w:sz w:val="28"/>
          <w:szCs w:val="28"/>
          <w:lang w:eastAsia="es-ES"/>
        </w:rPr>
        <w:t>tan concluyentes que la sola exposición del recurrente haga rodar por el piso la labor probatoria del Tribunal»</w:t>
      </w:r>
      <w:r w:rsidRPr="00C028BE">
        <w:rPr>
          <w:rFonts w:ascii="Bookman Old Style" w:eastAsia="Times New Roman" w:hAnsi="Bookman Old Style" w:cs="Arial"/>
          <w:sz w:val="28"/>
          <w:szCs w:val="28"/>
          <w:lang w:eastAsia="es-ES"/>
        </w:rPr>
        <w:t xml:space="preserve"> (Sent. de 23 de febrero de 2000, exp. 5371)</w:t>
      </w:r>
      <w:r w:rsidRPr="00C028BE">
        <w:rPr>
          <w:rFonts w:ascii="Bookman Old Style" w:eastAsia="Times New Roman" w:hAnsi="Bookman Old Style" w:cs="Arial"/>
          <w:bCs/>
          <w:sz w:val="28"/>
          <w:szCs w:val="28"/>
          <w:lang w:eastAsia="es-ES"/>
        </w:rPr>
        <w:t xml:space="preserve">, sin limitarse  a </w:t>
      </w:r>
      <w:r w:rsidRPr="00C028BE">
        <w:rPr>
          <w:rFonts w:ascii="Bookman Old Style" w:eastAsia="Times New Roman" w:hAnsi="Bookman Old Style" w:cs="Arial"/>
          <w:sz w:val="28"/>
          <w:szCs w:val="28"/>
          <w:lang w:eastAsia="es-ES"/>
        </w:rPr>
        <w:t xml:space="preserve">contraponer la interpretación que de las pruebas hace el censor con la que hizo el fallador </w:t>
      </w:r>
      <w:r w:rsidRPr="00C028BE">
        <w:rPr>
          <w:rFonts w:ascii="Bookman Old Style" w:eastAsia="Times New Roman" w:hAnsi="Bookman Old Style" w:cs="Arial"/>
          <w:bCs/>
          <w:sz w:val="28"/>
          <w:szCs w:val="28"/>
          <w:lang w:eastAsia="es-ES"/>
        </w:rPr>
        <w:t>porque, por más razonado que ello resulte</w:t>
      </w:r>
      <w:r w:rsidRPr="00C028BE">
        <w:rPr>
          <w:rFonts w:ascii="Bookman Old Style" w:eastAsia="Times New Roman" w:hAnsi="Bookman Old Style" w:cs="Arial"/>
          <w:bCs/>
          <w:i/>
          <w:sz w:val="28"/>
          <w:szCs w:val="28"/>
          <w:lang w:eastAsia="es-ES"/>
        </w:rPr>
        <w:t xml:space="preserve">, </w:t>
      </w:r>
      <w:r w:rsidRPr="00C028BE">
        <w:rPr>
          <w:rFonts w:ascii="Bookman Old Style" w:eastAsia="Times New Roman" w:hAnsi="Bookman Old Style" w:cs="Arial"/>
          <w:bCs/>
          <w:sz w:val="28"/>
          <w:szCs w:val="28"/>
          <w:lang w:eastAsia="es-ES"/>
        </w:rPr>
        <w:t>sabido se tiene</w:t>
      </w:r>
      <w:r w:rsidRPr="00C028BE">
        <w:rPr>
          <w:rFonts w:ascii="Bookman Old Style" w:eastAsia="Times New Roman" w:hAnsi="Bookman Old Style" w:cs="Arial"/>
          <w:bCs/>
          <w:i/>
          <w:sz w:val="28"/>
          <w:szCs w:val="28"/>
          <w:lang w:eastAsia="es-ES"/>
        </w:rPr>
        <w:t xml:space="preserve"> «que un relato de ese talante no alcanza a constituir una crítica al fallo sino apenas un alegato de instancia» </w:t>
      </w:r>
      <w:r w:rsidRPr="00C028BE">
        <w:rPr>
          <w:rFonts w:ascii="Bookman Old Style" w:eastAsia="Times New Roman" w:hAnsi="Bookman Old Style" w:cs="Arial"/>
          <w:bCs/>
          <w:sz w:val="28"/>
          <w:szCs w:val="28"/>
          <w:lang w:eastAsia="es-ES"/>
        </w:rPr>
        <w:t>(sentencia 056 de 8 de abril de 2005, exp. 7730).</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spacing w:after="120" w:line="360" w:lineRule="auto"/>
        <w:ind w:firstLine="708"/>
        <w:jc w:val="both"/>
        <w:rPr>
          <w:rFonts w:ascii="Bookman Old Style" w:eastAsia="Times New Roman" w:hAnsi="Bookman Old Style" w:cs="Arial"/>
          <w:sz w:val="28"/>
          <w:szCs w:val="28"/>
          <w:lang w:val="es-CO"/>
        </w:rPr>
      </w:pPr>
      <w:r w:rsidRPr="00C028BE">
        <w:rPr>
          <w:rFonts w:ascii="Bookman Old Style" w:eastAsia="Times New Roman" w:hAnsi="Bookman Old Style" w:cs="Arial"/>
          <w:bCs/>
          <w:sz w:val="28"/>
          <w:szCs w:val="28"/>
          <w:lang w:val="es-CO"/>
        </w:rPr>
        <w:t>13. Previo a abordar los desaciertos invocados en el análisis de las pruebas, conviene recordar, c</w:t>
      </w:r>
      <w:r w:rsidRPr="00C028BE">
        <w:rPr>
          <w:rFonts w:ascii="Bookman Old Style" w:eastAsia="Times New Roman" w:hAnsi="Bookman Old Style" w:cs="Arial"/>
          <w:sz w:val="28"/>
          <w:szCs w:val="28"/>
          <w:lang w:val="es-CO"/>
        </w:rPr>
        <w:t>omo bien se sabe, que el recurso de casación, por lo extraordinario y, atendiendo su naturaleza, al momento de su formulación y posterior sustentación, imponen al censor el acatamiento de un mínimo de requisitos tanto de forma como de técnica que, al ser desconocidos, además de impedir que el fondo del debate sea abordado, lo condenan a la deserción. Su gestor, adicionalmente, no puede olvidar que este remedio procesal no atañe al aspecto fáctico de la controversia judicial (</w:t>
      </w:r>
      <w:r w:rsidRPr="00C028BE">
        <w:rPr>
          <w:rFonts w:ascii="Bookman Old Style" w:eastAsia="Times New Roman" w:hAnsi="Bookman Old Style" w:cs="Arial"/>
          <w:i/>
          <w:sz w:val="28"/>
          <w:szCs w:val="28"/>
          <w:lang w:val="es-CO"/>
        </w:rPr>
        <w:t>tema decidendum)</w:t>
      </w:r>
      <w:r w:rsidRPr="00C028BE">
        <w:rPr>
          <w:rFonts w:ascii="Bookman Old Style" w:eastAsia="Times New Roman" w:hAnsi="Bookman Old Style" w:cs="Arial"/>
          <w:sz w:val="28"/>
          <w:szCs w:val="28"/>
          <w:lang w:val="es-CO"/>
        </w:rPr>
        <w:t>; menos está concebido como una nueva oportunidad para debatir el f</w:t>
      </w:r>
      <w:r w:rsidRPr="00C028BE">
        <w:rPr>
          <w:rFonts w:ascii="Bookman Old Style" w:eastAsia="Times New Roman" w:hAnsi="Bookman Old Style" w:cs="Arial"/>
          <w:i/>
          <w:sz w:val="28"/>
          <w:szCs w:val="28"/>
          <w:lang w:val="es-CO"/>
        </w:rPr>
        <w:t>actum</w:t>
      </w:r>
      <w:r w:rsidRPr="00C028BE">
        <w:rPr>
          <w:rFonts w:ascii="Bookman Old Style" w:eastAsia="Times New Roman" w:hAnsi="Bookman Old Style" w:cs="Arial"/>
          <w:sz w:val="28"/>
          <w:szCs w:val="28"/>
          <w:lang w:val="es-CO"/>
        </w:rPr>
        <w:t xml:space="preserve"> del litigio, tampoco constituye una tercera instancia. El objetivo principal es </w:t>
      </w:r>
      <w:r w:rsidRPr="00C028BE">
        <w:rPr>
          <w:rFonts w:ascii="Bookman Old Style" w:eastAsia="Times New Roman" w:hAnsi="Bookman Old Style" w:cs="Arial"/>
          <w:sz w:val="28"/>
          <w:szCs w:val="28"/>
          <w:lang w:val="es-CO"/>
        </w:rPr>
        <w:lastRenderedPageBreak/>
        <w:t xml:space="preserve">escudriñar el contenido del fallo proferido por el </w:t>
      </w:r>
      <w:r w:rsidRPr="00C028BE">
        <w:rPr>
          <w:rFonts w:ascii="Bookman Old Style" w:eastAsia="Times New Roman" w:hAnsi="Bookman Old Style" w:cs="Arial"/>
          <w:i/>
          <w:sz w:val="28"/>
          <w:szCs w:val="28"/>
          <w:lang w:val="es-CO"/>
        </w:rPr>
        <w:t xml:space="preserve">ad-quem </w:t>
      </w:r>
      <w:r w:rsidRPr="00C028BE">
        <w:rPr>
          <w:rFonts w:ascii="Bookman Old Style" w:eastAsia="Times New Roman" w:hAnsi="Bookman Old Style" w:cs="Arial"/>
          <w:sz w:val="28"/>
          <w:szCs w:val="28"/>
          <w:lang w:val="es-CO"/>
        </w:rPr>
        <w:t>(</w:t>
      </w:r>
      <w:r w:rsidRPr="00C028BE">
        <w:rPr>
          <w:rFonts w:ascii="Bookman Old Style" w:eastAsia="Times New Roman" w:hAnsi="Bookman Old Style" w:cs="Arial"/>
          <w:i/>
          <w:sz w:val="28"/>
          <w:szCs w:val="28"/>
          <w:lang w:val="es-CO"/>
        </w:rPr>
        <w:t>tema decissus</w:t>
      </w:r>
      <w:r w:rsidRPr="00C028BE">
        <w:rPr>
          <w:rFonts w:ascii="Bookman Old Style" w:eastAsia="Times New Roman" w:hAnsi="Bookman Old Style" w:cs="Arial"/>
          <w:sz w:val="28"/>
          <w:szCs w:val="28"/>
          <w:lang w:val="es-CO"/>
        </w:rPr>
        <w:t>), tratando de visualizar  los yerros denunciados y, así, en una confrontación idónea, quebrar la sentencia proferida.</w:t>
      </w:r>
    </w:p>
    <w:p w:rsidR="00C028BE" w:rsidRPr="00C028BE" w:rsidRDefault="00C028BE" w:rsidP="00C028BE">
      <w:pPr>
        <w:spacing w:after="0" w:line="360" w:lineRule="auto"/>
        <w:jc w:val="both"/>
        <w:rPr>
          <w:rFonts w:ascii="Bookman Old Style" w:eastAsia="Times New Roman" w:hAnsi="Bookman Old Style" w:cs="Arial"/>
          <w:sz w:val="28"/>
          <w:szCs w:val="28"/>
        </w:rPr>
      </w:pPr>
      <w:r w:rsidRPr="00C028BE">
        <w:rPr>
          <w:rFonts w:ascii="Bookman Old Style" w:eastAsia="Times New Roman" w:hAnsi="Bookman Old Style" w:cs="Arial"/>
          <w:sz w:val="28"/>
          <w:szCs w:val="28"/>
        </w:rPr>
        <w:tab/>
      </w:r>
    </w:p>
    <w:p w:rsidR="00C028BE" w:rsidRPr="00C028BE" w:rsidRDefault="00C028BE" w:rsidP="00C028BE">
      <w:pPr>
        <w:spacing w:after="0" w:line="360" w:lineRule="auto"/>
        <w:jc w:val="both"/>
        <w:rPr>
          <w:rFonts w:ascii="Bookman Old Style" w:eastAsia="Times New Roman" w:hAnsi="Bookman Old Style" w:cs="Arial"/>
          <w:sz w:val="28"/>
          <w:szCs w:val="28"/>
        </w:rPr>
      </w:pPr>
      <w:r w:rsidRPr="00C028BE">
        <w:rPr>
          <w:rFonts w:ascii="Bookman Old Style" w:eastAsia="Times New Roman" w:hAnsi="Bookman Old Style" w:cs="Arial"/>
          <w:sz w:val="28"/>
          <w:szCs w:val="28"/>
        </w:rPr>
        <w:tab/>
        <w:t>13.1 También, ha enfatizado la Corte en multitud de providencias, que en este mecanismo impugnativo, el casacionista debe derruir todos y cada uno de los cimientos fundamentales que soportaron el pronunciamiento adoptado, pues el cargo operante en este escenario es únicamente aquél que se refiere íntegramente a las bases estructurales de la sentencia opugnada, con el objetivo de desvirtuarlas, por cuanto que, “</w:t>
      </w:r>
      <w:r w:rsidRPr="00C028BE">
        <w:rPr>
          <w:rFonts w:ascii="Bookman Old Style" w:eastAsia="Times New Roman" w:hAnsi="Bookman Old Style" w:cs="Arial"/>
          <w:i/>
          <w:sz w:val="28"/>
          <w:szCs w:val="28"/>
        </w:rPr>
        <w:t>si alguno de tales soportes no es atacado o su censura resulta insuficiente y por sí mismo le presta apoyo suficiente al fallo impugnado éste debe quedar en pie, haciéndose de paso inocuo el examen de aquellos otros desaciertos cuyo reconocimiento reclama la censura”</w:t>
      </w:r>
      <w:r w:rsidRPr="00C028BE">
        <w:rPr>
          <w:rFonts w:ascii="Bookman Old Style" w:eastAsia="Times New Roman" w:hAnsi="Bookman Old Style" w:cs="Arial"/>
          <w:sz w:val="28"/>
          <w:szCs w:val="28"/>
        </w:rPr>
        <w:t>. (CSJ SC Auto de Ago. 22 de 2011, radicación n. 2007-00285).</w:t>
      </w:r>
    </w:p>
    <w:p w:rsidR="00C028BE" w:rsidRPr="00C028BE" w:rsidRDefault="00C028BE" w:rsidP="00C028BE">
      <w:pPr>
        <w:spacing w:after="0" w:line="360" w:lineRule="auto"/>
        <w:jc w:val="both"/>
        <w:rPr>
          <w:rFonts w:ascii="Bookman Old Style" w:eastAsia="Times New Roman" w:hAnsi="Bookman Old Style" w:cs="Arial"/>
          <w:sz w:val="28"/>
          <w:szCs w:val="28"/>
        </w:rPr>
      </w:pPr>
    </w:p>
    <w:p w:rsidR="00C028BE" w:rsidRPr="00C028BE" w:rsidRDefault="00C028BE" w:rsidP="00C028BE">
      <w:pPr>
        <w:spacing w:after="0" w:line="360" w:lineRule="auto"/>
        <w:jc w:val="both"/>
        <w:rPr>
          <w:rFonts w:ascii="Bookman Old Style" w:eastAsia="Times New Roman" w:hAnsi="Bookman Old Style" w:cs="Arial"/>
          <w:sz w:val="28"/>
          <w:szCs w:val="28"/>
        </w:rPr>
      </w:pPr>
      <w:r w:rsidRPr="00C028BE">
        <w:rPr>
          <w:rFonts w:ascii="Bookman Old Style" w:eastAsia="Times New Roman" w:hAnsi="Bookman Old Style" w:cs="Arial"/>
          <w:sz w:val="28"/>
          <w:szCs w:val="28"/>
          <w:lang w:val="es-CO"/>
        </w:rPr>
        <w:tab/>
        <w:t>Por tanto, si varios de los argumentos en que halló estribo la decisión no fueron replicados en la demanda de casación, entonces se reputarán firmes. En este sentido la Corte tiene dicho que s</w:t>
      </w:r>
      <w:r w:rsidRPr="00C028BE">
        <w:rPr>
          <w:rFonts w:ascii="Bookman Old Style" w:eastAsia="Times New Roman" w:hAnsi="Bookman Old Style" w:cs="Arial"/>
          <w:sz w:val="28"/>
          <w:szCs w:val="28"/>
        </w:rPr>
        <w:t>i se pretende combatir “</w:t>
      </w:r>
      <w:r w:rsidRPr="00C028BE">
        <w:rPr>
          <w:rFonts w:ascii="Bookman Old Style" w:eastAsia="Times New Roman" w:hAnsi="Bookman Old Style" w:cs="Arial"/>
          <w:i/>
          <w:sz w:val="28"/>
          <w:szCs w:val="28"/>
        </w:rPr>
        <w:t>con éxito un juicio jurisdiccional de instancia, no deben hacerse de lado los fundamentos del mismo, puesto que en este campo un cargo en casación no tendrá eficacia legal sino tan solo en la medida en que combata y desvirtúe directamente cada uno de tales argumentos”</w:t>
      </w:r>
      <w:r w:rsidRPr="00C028BE">
        <w:rPr>
          <w:rFonts w:ascii="Bookman Old Style" w:eastAsia="Times New Roman" w:hAnsi="Bookman Old Style" w:cs="Arial"/>
          <w:sz w:val="28"/>
          <w:szCs w:val="28"/>
        </w:rPr>
        <w:t xml:space="preserve">. (CSJ SC Sentencia 035 de 12 de abril de 2004, radicación n. 7077). </w:t>
      </w:r>
    </w:p>
    <w:p w:rsidR="00C028BE" w:rsidRPr="00C028BE" w:rsidRDefault="00C028BE" w:rsidP="00C028BE">
      <w:pPr>
        <w:spacing w:after="0" w:line="360" w:lineRule="auto"/>
        <w:jc w:val="both"/>
        <w:rPr>
          <w:rFonts w:ascii="Bookman Old Style" w:eastAsia="Times New Roman" w:hAnsi="Bookman Old Style" w:cs="Arial"/>
          <w:sz w:val="28"/>
          <w:szCs w:val="28"/>
        </w:rPr>
      </w:pPr>
      <w:r w:rsidRPr="00C028BE">
        <w:rPr>
          <w:rFonts w:ascii="Bookman Old Style" w:eastAsia="Times New Roman" w:hAnsi="Bookman Old Style" w:cs="Arial"/>
          <w:sz w:val="28"/>
          <w:szCs w:val="28"/>
        </w:rPr>
        <w:lastRenderedPageBreak/>
        <w:tab/>
      </w:r>
    </w:p>
    <w:p w:rsidR="00C028BE" w:rsidRPr="00C028BE" w:rsidRDefault="00C028BE" w:rsidP="00C028BE">
      <w:pPr>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rPr>
        <w:t xml:space="preserve">13.2 La acusación, igualmente lo ha reiterado la Sala, debe afectar en los eventos de ser cierto el dislate denunciado, el </w:t>
      </w:r>
      <w:r w:rsidRPr="00C028BE">
        <w:rPr>
          <w:rFonts w:ascii="Bookman Old Style" w:eastAsia="Times New Roman" w:hAnsi="Bookman Old Style" w:cs="Arial"/>
          <w:i/>
          <w:sz w:val="28"/>
          <w:szCs w:val="28"/>
        </w:rPr>
        <w:t>decisum</w:t>
      </w:r>
      <w:r w:rsidRPr="00C028BE">
        <w:rPr>
          <w:rFonts w:ascii="Bookman Old Style" w:eastAsia="Times New Roman" w:hAnsi="Bookman Old Style" w:cs="Arial"/>
          <w:sz w:val="28"/>
          <w:szCs w:val="28"/>
        </w:rPr>
        <w:t xml:space="preserve"> del pronunciamiento judicial, dado que, si en nada varía la decisión </w:t>
      </w:r>
      <w:r w:rsidRPr="00C028BE">
        <w:rPr>
          <w:rFonts w:ascii="Bookman Old Style" w:eastAsia="Times New Roman" w:hAnsi="Bookman Old Style" w:cs="Arial"/>
          <w:sz w:val="28"/>
          <w:szCs w:val="28"/>
          <w:lang w:eastAsia="es-ES"/>
        </w:rPr>
        <w:t>de la Corporación que, como aquí fue denegatoria de las pretensiones, entonces el cargo se torna intrascendente.</w:t>
      </w:r>
    </w:p>
    <w:p w:rsidR="00C028BE" w:rsidRPr="00C028BE" w:rsidRDefault="00C028BE" w:rsidP="00C028BE">
      <w:pPr>
        <w:spacing w:after="0" w:line="360" w:lineRule="auto"/>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En punto a aquella exigencia del desacierto fáctico, la Corporación ha sostenido que: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sz w:val="24"/>
          <w:szCs w:val="24"/>
          <w:lang w:eastAsia="es-ES"/>
        </w:rPr>
      </w:pPr>
      <w:r w:rsidRPr="00C028BE">
        <w:rPr>
          <w:rFonts w:ascii="Bookman Old Style" w:eastAsia="Times New Roman" w:hAnsi="Bookman Old Style" w:cs="Arial"/>
          <w:i/>
          <w:sz w:val="24"/>
          <w:szCs w:val="24"/>
          <w:lang w:eastAsia="es-ES"/>
        </w:rPr>
        <w:t>“</w:t>
      </w:r>
      <w:r w:rsidRPr="00C028BE">
        <w:rPr>
          <w:rFonts w:ascii="Bookman Old Style" w:eastAsia="Times New Roman" w:hAnsi="Bookman Old Style" w:cs="Arial"/>
          <w:i/>
          <w:sz w:val="24"/>
          <w:szCs w:val="24"/>
          <w:lang w:val="es-ES_tradnl" w:eastAsia="es-ES"/>
        </w:rPr>
        <w:t>en sede casacional, los errores no sólo deben ser evidentes, sino también trascendentes, lo que significa que el recurrente debe acreditar que el yerro ‘</w:t>
      </w:r>
      <w:r w:rsidRPr="00C028BE">
        <w:rPr>
          <w:rFonts w:ascii="Bookman Old Style" w:eastAsia="Times New Roman" w:hAnsi="Bookman Old Style" w:cs="Arial"/>
          <w:i/>
          <w:sz w:val="24"/>
          <w:szCs w:val="24"/>
          <w:lang w:eastAsia="es-ES"/>
        </w:rPr>
        <w:t>fue determinante en relación con la decisión judicial que se combate’ (cas. civ. de 27 de octubre de 2000; exp: 5395), ‘hasta el punto de que su verificación en el recurso, conduzca por necesidad a la infirmación del fallo con el fin de restablecer por este medio la legalidad sustancial quebrantada’ (CCLII, pág. 631), de donde se colige que si la equivocación es irrelevante, ‘</w:t>
      </w:r>
      <w:r w:rsidRPr="00C028BE">
        <w:rPr>
          <w:rFonts w:ascii="Bookman Old Style" w:eastAsia="Times New Roman" w:hAnsi="Bookman Old Style" w:cs="Arial"/>
          <w:i/>
          <w:sz w:val="24"/>
          <w:szCs w:val="24"/>
          <w:lang w:val="es-ES_tradnl" w:eastAsia="es-ES"/>
        </w:rPr>
        <w:t>la Corte no debe ocuparse del examen de los errores delatados, dada su inocuidad’ (CCXLIX. pág., 1605)”</w:t>
      </w:r>
      <w:r w:rsidRPr="00C028BE">
        <w:rPr>
          <w:rFonts w:ascii="Bookman Old Style" w:eastAsia="Times New Roman" w:hAnsi="Bookman Old Style" w:cs="Arial"/>
          <w:sz w:val="24"/>
          <w:szCs w:val="24"/>
          <w:lang w:val="es-ES_tradnl" w:eastAsia="es-ES"/>
        </w:rPr>
        <w:t xml:space="preserve"> (Cas. Civ., sentencia de 26 de marzo de 2001 radicación </w:t>
      </w:r>
      <w:r w:rsidRPr="00C028BE">
        <w:rPr>
          <w:rFonts w:ascii="Bookman Old Style" w:eastAsia="Times New Roman" w:hAnsi="Bookman Old Style" w:cs="Arial"/>
          <w:sz w:val="24"/>
          <w:szCs w:val="24"/>
          <w:lang w:eastAsia="es-ES"/>
        </w:rPr>
        <w:t>5823, criterio reiterado en el fallo de 31 de agosto de 2011 radicación 2004-00359 01, entre otros).</w:t>
      </w: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sz w:val="24"/>
          <w:szCs w:val="24"/>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Del mismo modo, ha dicho sobre el tema la Sala que: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Default="00C028BE" w:rsidP="00C028BE">
      <w:pPr>
        <w:autoSpaceDE w:val="0"/>
        <w:autoSpaceDN w:val="0"/>
        <w:spacing w:after="0" w:line="360" w:lineRule="auto"/>
        <w:ind w:left="708"/>
        <w:jc w:val="both"/>
        <w:rPr>
          <w:rFonts w:ascii="Bookman Old Style" w:eastAsia="Times New Roman" w:hAnsi="Bookman Old Style" w:cs="Arial"/>
          <w:sz w:val="24"/>
          <w:szCs w:val="24"/>
          <w:lang w:eastAsia="es-ES"/>
        </w:rPr>
      </w:pPr>
      <w:r w:rsidRPr="00C028BE">
        <w:rPr>
          <w:rFonts w:ascii="Bookman Old Style" w:eastAsia="Times New Roman" w:hAnsi="Bookman Old Style" w:cs="Arial"/>
          <w:i/>
          <w:sz w:val="24"/>
          <w:szCs w:val="24"/>
          <w:lang w:eastAsia="es-ES"/>
        </w:rPr>
        <w:t xml:space="preserve">“... para que la violación de la ley adquiera real incidencia en casación, de suerte que conduzca al quiebre de la sentencia acusada, es menester que tenga consecuencia directa en la parte resolutiva del fallo, por lo que aquellos errores que apenas aparezcan en las motivaciones o razonamientos de la providencia, sin esa forzosa trascendencia en la conclusión final, no alcanzan a </w:t>
      </w:r>
      <w:r w:rsidRPr="00C028BE">
        <w:rPr>
          <w:rFonts w:ascii="Bookman Old Style" w:eastAsia="Times New Roman" w:hAnsi="Bookman Old Style" w:cs="Arial"/>
          <w:i/>
          <w:sz w:val="24"/>
          <w:szCs w:val="24"/>
          <w:lang w:eastAsia="es-ES"/>
        </w:rPr>
        <w:lastRenderedPageBreak/>
        <w:t xml:space="preserve">obtener la prosperidad del recurso”. </w:t>
      </w:r>
      <w:r w:rsidRPr="00C028BE">
        <w:rPr>
          <w:rFonts w:ascii="Bookman Old Style" w:eastAsia="Times New Roman" w:hAnsi="Bookman Old Style" w:cs="Arial"/>
          <w:sz w:val="24"/>
          <w:szCs w:val="24"/>
          <w:lang w:eastAsia="es-ES"/>
        </w:rPr>
        <w:t>(CSJ SC Sentencia May. 19 de 2004, radicación n. 7145. Reiterado en CS Sent. Nov. 9 de noviembre de 2006, radicación n. 00684 – 01).</w:t>
      </w:r>
    </w:p>
    <w:p w:rsidR="00120EB6" w:rsidRPr="00C028BE" w:rsidRDefault="00120EB6" w:rsidP="00C028BE">
      <w:pPr>
        <w:autoSpaceDE w:val="0"/>
        <w:autoSpaceDN w:val="0"/>
        <w:spacing w:after="0" w:line="360" w:lineRule="auto"/>
        <w:ind w:left="708"/>
        <w:jc w:val="both"/>
        <w:rPr>
          <w:rFonts w:ascii="Bookman Old Style" w:eastAsia="Times New Roman" w:hAnsi="Bookman Old Style" w:cs="Arial"/>
          <w:sz w:val="24"/>
          <w:szCs w:val="24"/>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rPr>
      </w:pPr>
      <w:r w:rsidRPr="00C028BE">
        <w:rPr>
          <w:rFonts w:ascii="Bookman Old Style" w:eastAsia="Times New Roman" w:hAnsi="Bookman Old Style" w:cs="Arial"/>
          <w:sz w:val="28"/>
          <w:szCs w:val="28"/>
        </w:rPr>
        <w:t>14. Plasmadas las anteriores pautas, cumple decir, desde ya, que la sustentación del recurso extraordinario de casación, en lo atinente a los reproches por valoración probatoria, no satisfizo las mínimas exigencias contempladas en el artículo 374 del Código de Procedimiento Civil, y en la jurisprudencia de esta Corporación.</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El censor fundamentó el error de hecho en los siguientes aspectos:</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 xml:space="preserve"> a.- La apreciación indebida del instrumento público 3491 de 18 de junio de 2008, al no percatarse que según la especificación de la naturaleza del acto, “</w:t>
      </w:r>
      <w:r w:rsidRPr="00C028BE">
        <w:rPr>
          <w:rFonts w:ascii="Bookman Old Style" w:eastAsia="Times New Roman" w:hAnsi="Bookman Old Style" w:cs="Arial"/>
          <w:bCs/>
          <w:i/>
          <w:sz w:val="28"/>
          <w:szCs w:val="28"/>
          <w:lang w:eastAsia="es-ES"/>
        </w:rPr>
        <w:t>se trataba de una determinación y actualización del área total del inmueble</w:t>
      </w:r>
      <w:r w:rsidRPr="00C028BE">
        <w:rPr>
          <w:rFonts w:ascii="Bookman Old Style" w:eastAsia="Times New Roman" w:hAnsi="Bookman Old Style" w:cs="Arial"/>
          <w:bCs/>
          <w:sz w:val="28"/>
          <w:szCs w:val="28"/>
          <w:lang w:eastAsia="es-ES"/>
        </w:rPr>
        <w:t>”; y agregó, el Tribunal no comprendió que debió acompañarse la correspondiente Resolución del IGAC, necesaria como soporte técnico y jurídico.</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 xml:space="preserve">b.- Preterición de la confesión del demandado JAIME TORRES dentro del interrogatorio de parte, pues en ella dijo, que el objeto de suscribir el instrumento 3491 era englobar </w:t>
      </w:r>
      <w:r w:rsidRPr="00C028BE">
        <w:rPr>
          <w:rFonts w:ascii="Bookman Old Style" w:eastAsia="Times New Roman" w:hAnsi="Bookman Old Style" w:cs="Arial"/>
          <w:bCs/>
          <w:sz w:val="28"/>
          <w:szCs w:val="28"/>
          <w:lang w:eastAsia="es-ES"/>
        </w:rPr>
        <w:lastRenderedPageBreak/>
        <w:t>los predios EL ENCERRADO, LAURELES y la ÑAPA, “</w:t>
      </w:r>
      <w:r w:rsidRPr="00C028BE">
        <w:rPr>
          <w:rFonts w:ascii="Bookman Old Style" w:eastAsia="Times New Roman" w:hAnsi="Bookman Old Style" w:cs="Arial"/>
          <w:bCs/>
          <w:i/>
          <w:sz w:val="28"/>
          <w:szCs w:val="28"/>
          <w:lang w:eastAsia="es-ES"/>
        </w:rPr>
        <w:t>que presentaban matrículas independientes</w:t>
      </w:r>
      <w:r w:rsidRPr="00C028BE">
        <w:rPr>
          <w:rFonts w:ascii="Bookman Old Style" w:eastAsia="Times New Roman" w:hAnsi="Bookman Old Style" w:cs="Arial"/>
          <w:bCs/>
          <w:sz w:val="28"/>
          <w:szCs w:val="28"/>
          <w:lang w:eastAsia="es-ES"/>
        </w:rPr>
        <w:t>”.</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c.- Desconocimiento de la contestación de la demanda.</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d.- Haber ignorado varios de los testimonios de los que asegura, se deduce que los linderos del lote englobado EL ENCERRADO “</w:t>
      </w:r>
      <w:r w:rsidRPr="00C028BE">
        <w:rPr>
          <w:rFonts w:ascii="Bookman Old Style" w:eastAsia="Times New Roman" w:hAnsi="Bookman Old Style" w:cs="Arial"/>
          <w:bCs/>
          <w:i/>
          <w:sz w:val="28"/>
          <w:szCs w:val="28"/>
          <w:lang w:eastAsia="es-ES"/>
        </w:rPr>
        <w:t>no estaban determinados ni por ende el área del inmueble antes de suscribirse la escritura pública 3491</w:t>
      </w:r>
      <w:r w:rsidRPr="00C028BE">
        <w:rPr>
          <w:rFonts w:ascii="Bookman Old Style" w:eastAsia="Times New Roman" w:hAnsi="Bookman Old Style" w:cs="Arial"/>
          <w:bCs/>
          <w:sz w:val="28"/>
          <w:szCs w:val="28"/>
          <w:lang w:eastAsia="es-ES"/>
        </w:rPr>
        <w:t>”.</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r w:rsidRPr="00C028BE">
        <w:rPr>
          <w:rFonts w:ascii="Bookman Old Style" w:eastAsia="Times New Roman" w:hAnsi="Bookman Old Style" w:cs="Arial"/>
          <w:bCs/>
          <w:sz w:val="28"/>
          <w:szCs w:val="28"/>
          <w:lang w:eastAsia="es-ES"/>
        </w:rPr>
        <w:t>e.- Pretirió la existencia del proceso de deslinde y amojonamiento y su conciliación.</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Arial"/>
          <w:bCs/>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eastAsia="es-ES"/>
        </w:rPr>
      </w:pPr>
      <w:r w:rsidRPr="00C028BE">
        <w:rPr>
          <w:rFonts w:ascii="Bookman Old Style" w:eastAsia="Times New Roman" w:hAnsi="Bookman Old Style" w:cs="Arial"/>
          <w:sz w:val="28"/>
          <w:szCs w:val="28"/>
          <w:lang w:val="es-ES_tradnl" w:eastAsia="es-ES"/>
        </w:rPr>
        <w:t xml:space="preserve">15- Para el Tribunal, el motivo basilar para ratificar la decisión de primera instancia, y por ende discurrir </w:t>
      </w:r>
      <w:r w:rsidRPr="00C028BE">
        <w:rPr>
          <w:rFonts w:ascii="Bookman Old Style" w:eastAsia="Times New Roman" w:hAnsi="Bookman Old Style" w:cs="Times New Roman"/>
          <w:sz w:val="28"/>
          <w:szCs w:val="28"/>
          <w:lang w:eastAsia="es-ES"/>
        </w:rPr>
        <w:t>“</w:t>
      </w:r>
      <w:r w:rsidRPr="00C028BE">
        <w:rPr>
          <w:rFonts w:ascii="Bookman Old Style" w:eastAsia="Times New Roman" w:hAnsi="Bookman Old Style" w:cs="Times New Roman"/>
          <w:i/>
          <w:sz w:val="28"/>
          <w:szCs w:val="28"/>
          <w:lang w:eastAsia="es-ES"/>
        </w:rPr>
        <w:t xml:space="preserve">que no se configura ninguna de las causales de nulidad del acto jurídico” </w:t>
      </w:r>
      <w:r w:rsidRPr="00C028BE">
        <w:rPr>
          <w:rFonts w:ascii="Bookman Old Style" w:eastAsia="Times New Roman" w:hAnsi="Bookman Old Style" w:cs="Times New Roman"/>
          <w:sz w:val="28"/>
          <w:szCs w:val="28"/>
          <w:lang w:eastAsia="es-ES"/>
        </w:rPr>
        <w:t>fue que en los instrumentos públicos acusados no se observa una verdadera modificación de la finca el ENCERRADO pues sus límites, aunque no estaban específicamente delimitados, “</w:t>
      </w:r>
      <w:r w:rsidRPr="00C028BE">
        <w:rPr>
          <w:rFonts w:ascii="Bookman Old Style" w:eastAsia="Times New Roman" w:hAnsi="Bookman Old Style" w:cs="Times New Roman"/>
          <w:i/>
          <w:sz w:val="28"/>
          <w:szCs w:val="28"/>
          <w:lang w:eastAsia="es-ES"/>
        </w:rPr>
        <w:t>si estaban determinados y en todo caso eran determinables, gracias a la decisión del Juzgado Sexto de Familia de Bogotá de 12 de diciembre de 1995, que aclara y adiciona la sentencia aprobatoria de la partición dentro de la sucesión del causante LEOPOLDO POVEDA GALÁN</w:t>
      </w:r>
      <w:r w:rsidRPr="00C028BE">
        <w:rPr>
          <w:rFonts w:ascii="Bookman Old Style" w:eastAsia="Times New Roman" w:hAnsi="Bookman Old Style" w:cs="Times New Roman"/>
          <w:sz w:val="28"/>
          <w:szCs w:val="28"/>
          <w:lang w:eastAsia="es-ES"/>
        </w:rPr>
        <w:t>”, y agregó que a partir de esa providencia judicial, “</w:t>
      </w:r>
      <w:r w:rsidRPr="00C028BE">
        <w:rPr>
          <w:rFonts w:ascii="Bookman Old Style" w:eastAsia="Times New Roman" w:hAnsi="Bookman Old Style" w:cs="Times New Roman"/>
          <w:i/>
          <w:sz w:val="28"/>
          <w:szCs w:val="28"/>
          <w:lang w:eastAsia="es-ES"/>
        </w:rPr>
        <w:t>la cual se encuentra en firme</w:t>
      </w:r>
      <w:r w:rsidRPr="00C028BE">
        <w:rPr>
          <w:rFonts w:ascii="Bookman Old Style" w:eastAsia="Times New Roman" w:hAnsi="Bookman Old Style" w:cs="Times New Roman"/>
          <w:sz w:val="28"/>
          <w:szCs w:val="28"/>
          <w:lang w:eastAsia="es-ES"/>
        </w:rPr>
        <w:t>”, los lindes del inmueble EL ENCERRADO, “</w:t>
      </w:r>
      <w:r w:rsidRPr="00C028BE">
        <w:rPr>
          <w:rFonts w:ascii="Bookman Old Style" w:eastAsia="Times New Roman" w:hAnsi="Bookman Old Style" w:cs="Times New Roman"/>
          <w:i/>
          <w:sz w:val="28"/>
          <w:szCs w:val="28"/>
          <w:lang w:eastAsia="es-ES"/>
        </w:rPr>
        <w:t>estaban llamados a acrecer</w:t>
      </w:r>
      <w:r w:rsidRPr="00C028BE">
        <w:rPr>
          <w:rFonts w:ascii="Bookman Old Style" w:eastAsia="Times New Roman" w:hAnsi="Bookman Old Style" w:cs="Times New Roman"/>
          <w:sz w:val="28"/>
          <w:szCs w:val="28"/>
          <w:lang w:eastAsia="es-ES"/>
        </w:rPr>
        <w:t>”, por hacer parte del mismo LA ÑAPA y LOS LAURELES.</w:t>
      </w: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eastAsia="es-ES"/>
        </w:rPr>
      </w:pPr>
    </w:p>
    <w:p w:rsidR="00C028BE" w:rsidRPr="00C028BE" w:rsidRDefault="00C028BE" w:rsidP="00C028BE">
      <w:pPr>
        <w:keepNext/>
        <w:autoSpaceDE w:val="0"/>
        <w:autoSpaceDN w:val="0"/>
        <w:adjustRightInd w:val="0"/>
        <w:spacing w:after="0" w:line="360" w:lineRule="auto"/>
        <w:ind w:firstLine="708"/>
        <w:jc w:val="both"/>
        <w:rPr>
          <w:rFonts w:ascii="Bookman Old Style" w:eastAsia="Times New Roman" w:hAnsi="Bookman Old Style" w:cs="Times New Roman"/>
          <w:sz w:val="28"/>
          <w:szCs w:val="28"/>
          <w:lang w:eastAsia="es-ES"/>
        </w:rPr>
      </w:pPr>
      <w:r w:rsidRPr="00C028BE">
        <w:rPr>
          <w:rFonts w:ascii="Bookman Old Style" w:eastAsia="Times New Roman" w:hAnsi="Bookman Old Style" w:cs="Times New Roman"/>
          <w:sz w:val="28"/>
          <w:szCs w:val="28"/>
          <w:lang w:eastAsia="es-ES"/>
        </w:rPr>
        <w:t xml:space="preserve">Acto seguido dijo el fallador Colegiado que como esos dos últimos bienes, por tener folios independientes, pero que </w:t>
      </w:r>
      <w:r w:rsidRPr="00C028BE">
        <w:rPr>
          <w:rFonts w:ascii="Bookman Old Style" w:eastAsia="Times New Roman" w:hAnsi="Bookman Old Style" w:cs="Times New Roman"/>
          <w:sz w:val="28"/>
          <w:szCs w:val="28"/>
          <w:lang w:eastAsia="es-ES"/>
        </w:rPr>
        <w:lastRenderedPageBreak/>
        <w:t>serían cancelados, contaban con linderos delimitados en extensión y ubicación, entonces se entendían incorporados a la heredad de los convocados.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Añadió que en la escritura 3491 de 2008, según dimana de la estipulación tercera, contrario a lo planteado por los demandantes, “</w:t>
      </w:r>
      <w:r w:rsidRPr="00C028BE">
        <w:rPr>
          <w:rFonts w:ascii="Bookman Old Style" w:eastAsia="Times New Roman" w:hAnsi="Bookman Old Style" w:cs="Arial"/>
          <w:i/>
          <w:sz w:val="28"/>
          <w:szCs w:val="28"/>
          <w:lang w:eastAsia="es-ES"/>
        </w:rPr>
        <w:t>simplemente se está haciendo claridad respecto del área, sin que esta aumente o disminuya</w:t>
      </w:r>
      <w:r w:rsidRPr="00C028BE">
        <w:rPr>
          <w:rFonts w:ascii="Bookman Old Style" w:eastAsia="Times New Roman" w:hAnsi="Bookman Old Style" w:cs="Arial"/>
          <w:sz w:val="28"/>
          <w:szCs w:val="28"/>
          <w:lang w:eastAsia="es-ES"/>
        </w:rPr>
        <w:t>”, con base en un mandato judicial.</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Destacó que los aspectos ahora motivo de contienda fueron zanjados en las decisiones administrativas provenientes de la Registraduría de Instrumentos Públicos de Bogotá —zona norte— y el Instituto Geográfico Agustín Codazzi.</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Finalmente señaló que nuestro ordenamiento no establece como causal de nulidad absoluta de una escritura la existencia de una conciliación anterior, a más que los documentos adosados no tenían objeto y causa ilícita, ni omitió las formalidades legales, ni las partes otorgantes son sujetos incapaces.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En esencia, las consideraciones sentadas en precedencia fueron los que sirvieron de soporte al Tribunal para alzar su decisión y colegir la inexistencia de motivos constitutivos de nulidad absoluta, argumentos que, lejos se hallan de haber sido controvertidos integralmente por el ataque casacional.</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lastRenderedPageBreak/>
        <w:t>16. Al exponer el censor que se apreció indebidamente la escritura pública 3491 de 2008, por las razones invocadas en el libelo, consistentes en que la misma inadvirtió los requisitos técnicos y jurídicos para poder realizar la actualización de área y dotar de validez el acto, desconoce que el Tribunal no echó de menos ninguna exigencia de ley para correr el mencionado instrumento, en la medida que aquél se autorizó por el Notario con fundamento en una decisión judicial que aclara y adiciona la sentencia aprobatoria de un trabajo de partición, sin que observara alguna razón para invalidar el acto</w:t>
      </w:r>
      <w:r w:rsidRPr="00C028BE">
        <w:rPr>
          <w:rFonts w:ascii="Bookman Old Style" w:eastAsia="Times New Roman" w:hAnsi="Bookman Old Style" w:cs="Arial"/>
          <w:sz w:val="28"/>
          <w:szCs w:val="28"/>
          <w:vertAlign w:val="superscript"/>
          <w:lang w:eastAsia="es-ES"/>
        </w:rPr>
        <w:footnoteReference w:id="3"/>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16.1 En efecto, mediante proveído de 4 de agosto de 1995 (folio 161), el Juzgado Sexto de Familia de Bogotá dispuso: “</w:t>
      </w:r>
      <w:r w:rsidRPr="00C028BE">
        <w:rPr>
          <w:rFonts w:ascii="Bookman Old Style" w:eastAsia="Times New Roman" w:hAnsi="Bookman Old Style" w:cs="Arial"/>
          <w:i/>
          <w:sz w:val="28"/>
          <w:szCs w:val="28"/>
          <w:lang w:eastAsia="es-ES"/>
        </w:rPr>
        <w:t>1. APRUÉBESE en todas sus partes el anterior trabajo de partición de los bienes de la sucesión de LEOPOLDO POVEDA GALÁN</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16.2 A su turno, el 12 de diciembre de 1995, la misma agencia judicial resolvió una petición de aclaración y adición al auto aprobatorio del trabajo partitivo, señalando que: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i/>
          <w:sz w:val="24"/>
          <w:szCs w:val="24"/>
          <w:lang w:eastAsia="es-ES"/>
        </w:rPr>
        <w:t>“Respecto de las matrículas inmobiliarias Nos 050-0340515 y 050-0087726 correspondientes a los predios LA ÑAPA y LOS LAURELES como dichos predios quedaron anexados, por el catastro al predio EL ENCERRADO cuya matrícula inmobiliaria es la No 050-0087725, se procederá a la inscripción pertinente en éste folio último aludido y cancelar los folios de matrícula inmobiliaria inicialmente mencionadas en este acápite</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Tras proseguir con las enmiendas pertinentes, resolvió: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C028BE">
        <w:rPr>
          <w:rFonts w:ascii="Bookman Old Style" w:eastAsia="Times New Roman" w:hAnsi="Bookman Old Style" w:cs="Arial"/>
          <w:i/>
          <w:sz w:val="28"/>
          <w:szCs w:val="28"/>
          <w:lang w:eastAsia="es-ES"/>
        </w:rPr>
        <w:t>“PRIMERO: ACLARAR y ADICIONAR, la sentencia aprobatoria de la partición, y por consiguiente, el trabajo partitivo de acuerdo con lo expuesto en la parte motiva de esta providencia.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i/>
          <w:sz w:val="28"/>
          <w:szCs w:val="28"/>
          <w:lang w:eastAsia="es-ES"/>
        </w:rPr>
      </w:pPr>
      <w:r w:rsidRPr="00C028BE">
        <w:rPr>
          <w:rFonts w:ascii="Bookman Old Style" w:eastAsia="Times New Roman" w:hAnsi="Bookman Old Style" w:cs="Arial"/>
          <w:i/>
          <w:sz w:val="28"/>
          <w:szCs w:val="28"/>
          <w:lang w:eastAsia="es-ES"/>
        </w:rPr>
        <w:t>SEGUNDO: INSCRÍBASE la determinación aquí adoptada en la oficina de Registro de Instrumentos Públicos del lugar de ubicación de los inmuebles adjudicados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16.3 Merced a lo anteriormente razonado por el juzgador plural, la heredad conocida como EL ENCERRADO —obtenida por los demandados a través de contrato de permuta protocolizado en el instrumento 2369 de 30 de julio de 2005— no sufrió una modificación de sus linderos, por estar ellos definidos en la resolución judicial mencionada, según explicó al valorar la escritura pública 3491 de 18 de julio de 2008 que en sus estipulaciones precisó:</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“PRIMERO: que por medio de la escritura pública 2369 de 30 de julio de 2005 otorgada en la Notaría 63 del Círculo de Bogotá D.C., los comparecientes adquirieron por permuta realizada por los señores NOEL POVEDA GALÁN y otros, el derecho de dominio y posesión sobre el inmueble consistente en un lote de terreno denominado EL ENCERRADO (…) al cual le corresponde el folio de matrícula inmobiliaria número 50N 20368431.</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 xml:space="preserve">SEGUNDO: Que los comparecientes manifiestan que el mencionado inmueble se formó, como producto del englobe efectuado mediante sentencia de fecha 4 de agosto de 1995 proferida por el Juzgado </w:t>
      </w:r>
      <w:r w:rsidRPr="00C028BE">
        <w:rPr>
          <w:rFonts w:ascii="Bookman Old Style" w:eastAsia="Times New Roman" w:hAnsi="Bookman Old Style" w:cs="Arial"/>
          <w:i/>
          <w:sz w:val="24"/>
          <w:szCs w:val="24"/>
          <w:lang w:eastAsia="es-ES"/>
        </w:rPr>
        <w:lastRenderedPageBreak/>
        <w:t>Sexto de Familia de Bogotá, dentro del proceso de sucesión del señor LEOPOLDO POVEDA GALÁN, siendo los inmuebles englobados los siguientes.1.- LA COMPAÑÍA (…) 2.- LOS LAURELES y 3.- LA ÑAPA (…) Las extensiones de cada uno de los inmuebles señalados se pueden apreciar al examinarse las matrículas inmobiliarias que los identifican, a saber: 50N-87725, 50N-87726 y 50N-340515.</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i/>
          <w:sz w:val="24"/>
          <w:szCs w:val="24"/>
          <w:lang w:eastAsia="es-ES"/>
        </w:rPr>
      </w:pPr>
    </w:p>
    <w:p w:rsidR="00C028BE" w:rsidRPr="00C028BE" w:rsidRDefault="00C028BE" w:rsidP="00C028BE">
      <w:pPr>
        <w:autoSpaceDE w:val="0"/>
        <w:autoSpaceDN w:val="0"/>
        <w:spacing w:after="0" w:line="360" w:lineRule="auto"/>
        <w:ind w:left="708"/>
        <w:jc w:val="both"/>
        <w:rPr>
          <w:rFonts w:ascii="Bookman Old Style" w:eastAsia="Times New Roman" w:hAnsi="Bookman Old Style" w:cs="Arial"/>
          <w:i/>
          <w:sz w:val="24"/>
          <w:szCs w:val="24"/>
          <w:lang w:eastAsia="es-ES"/>
        </w:rPr>
      </w:pPr>
      <w:r w:rsidRPr="00C028BE">
        <w:rPr>
          <w:rFonts w:ascii="Bookman Old Style" w:eastAsia="Times New Roman" w:hAnsi="Bookman Old Style" w:cs="Arial"/>
          <w:i/>
          <w:sz w:val="24"/>
          <w:szCs w:val="24"/>
          <w:lang w:eastAsia="es-ES"/>
        </w:rPr>
        <w:t>TERCERO: Que los comparecientes proceden mediante el presente instrumento a hacer claridad en cuanto a actualizar en el folio de matrícula inmobiliaria número 50N 20368431, que el área del globo resultante del englobe antes mencionado, señalado en la cláusula primera de este instrumento, identificado con matrícula inmobiliaria número 50N 20368431, del cual son los comparecientes actuales titulares del derecho, corresponde a (54 Ha 4160M2), el cual se obtiene a través de una simple operación aritmética, consistente en sumar las extensiones de los tres lotes englobados antes aludidos que lo conforman”.</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16.4 Lo anterior fácilmente devela que el censor se desentendió de cuestionar el punto toral de la providencia, pues para el Tribunal la inexistencia de la nulidad absoluta invocada, más allá de observarse colmadas las exigencias de ley, se basó en que la escritura según el recurrente mal valorada, se elevó “</w:t>
      </w:r>
      <w:r w:rsidRPr="00C028BE">
        <w:rPr>
          <w:rFonts w:ascii="Bookman Old Style" w:eastAsia="Times New Roman" w:hAnsi="Bookman Old Style" w:cs="Arial"/>
          <w:i/>
          <w:sz w:val="28"/>
          <w:szCs w:val="28"/>
          <w:lang w:eastAsia="es-ES"/>
        </w:rPr>
        <w:t>gracias</w:t>
      </w:r>
      <w:r w:rsidRPr="00C028BE">
        <w:rPr>
          <w:rFonts w:ascii="Bookman Old Style" w:eastAsia="Times New Roman" w:hAnsi="Bookman Old Style" w:cs="Arial"/>
          <w:sz w:val="28"/>
          <w:szCs w:val="28"/>
          <w:lang w:eastAsia="es-ES"/>
        </w:rPr>
        <w:t>” a una ordenación jurisdiccional, mandato que no fue controvertido, independientemente de la validez o no del aserto.</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En ese sentido, el ataque se torna incompleto dado que, lo que debió ser específicamente objeto de reproche fue el proveído explicativo de la partición, bien descalificándolo, bien anunciando que las escrituras no se apoyaron fielmente </w:t>
      </w:r>
      <w:r w:rsidRPr="00C028BE">
        <w:rPr>
          <w:rFonts w:ascii="Bookman Old Style" w:eastAsia="Times New Roman" w:hAnsi="Bookman Old Style" w:cs="Arial"/>
          <w:sz w:val="28"/>
          <w:szCs w:val="28"/>
          <w:lang w:eastAsia="es-ES"/>
        </w:rPr>
        <w:lastRenderedPageBreak/>
        <w:t>en él por ir más allá de lo adicionado en el auto emanado de la jurisdicción de familia, ya denunciando que no suplía la certificación o Resolución de la autoridad catastral.</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Tal aspecto, en estrictez, resultó soslayado por el casacionista a pesar de corresponderle derruir ese pilar del fallo enjuiciado, y al pasarlo por alto, se quedó a mitad de camino en el laborío de réplica y debido contraste frente a los cimientos de la sentencia combatida.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Si en la inteligencia del </w:t>
      </w:r>
      <w:r w:rsidRPr="00C028BE">
        <w:rPr>
          <w:rFonts w:ascii="Bookman Old Style" w:eastAsia="Times New Roman" w:hAnsi="Bookman Old Style" w:cs="Arial"/>
          <w:i/>
          <w:sz w:val="28"/>
          <w:szCs w:val="28"/>
          <w:lang w:eastAsia="es-ES"/>
        </w:rPr>
        <w:t>ad quem</w:t>
      </w:r>
      <w:r w:rsidRPr="00C028BE">
        <w:rPr>
          <w:rFonts w:ascii="Bookman Old Style" w:eastAsia="Times New Roman" w:hAnsi="Bookman Old Style" w:cs="Arial"/>
          <w:sz w:val="28"/>
          <w:szCs w:val="28"/>
          <w:lang w:eastAsia="es-ES"/>
        </w:rPr>
        <w:t>, entre los ajustes que efectuó la decisión aclaratoria del auto de 4 de agosto de 1995 que aprobó un trabajo de partición, hubo concordancia con la escritura pública basada en dicho fallo, el recurrente tenía la empresa de confutar con rigor el porqué lo vertido en el instrumento público no guardaba simetría con lo expuesto en la decisión judicial, aspecto este igualmente ayuno de reproche.</w:t>
      </w:r>
    </w:p>
    <w:p w:rsidR="00095FD4" w:rsidRDefault="00095FD4"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095FD4" w:rsidRDefault="00095FD4"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Pr>
          <w:rFonts w:ascii="Bookman Old Style" w:eastAsia="Times New Roman" w:hAnsi="Bookman Old Style" w:cs="Arial"/>
          <w:sz w:val="28"/>
          <w:szCs w:val="28"/>
          <w:lang w:eastAsia="es-ES"/>
        </w:rPr>
        <w:t>Ahora bien, aún pasándose por alto la deficiencia de técnica prenombrada, la acusación de todas maneras se tornaría insubstancial e intrascendente dado que la conclusión a la que arribaría la sentencia hubiera sido la misma, teniendo en cuenta que no se estructuró ninguna de las causales de nulidad absoluta planteadas.</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17. Alusivo a la confesión que dice realizó en el interrogatorio de parte el opositor JAIME TORRES, por reconocer que se suscribió el documento público respectivo con el único propósito de aclarar el englobe de unos predios, </w:t>
      </w:r>
      <w:r w:rsidRPr="00C028BE">
        <w:rPr>
          <w:rFonts w:ascii="Bookman Old Style" w:eastAsia="Times New Roman" w:hAnsi="Bookman Old Style" w:cs="Arial"/>
          <w:sz w:val="28"/>
          <w:szCs w:val="28"/>
          <w:lang w:eastAsia="es-ES"/>
        </w:rPr>
        <w:lastRenderedPageBreak/>
        <w:t>es decir EL ENCERRADO, LAURELES y LA ÑAPA, al presentar certificados de libertad independientes, debe expresarse lo siguiente: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spacing w:after="0" w:line="360" w:lineRule="auto"/>
        <w:ind w:firstLine="708"/>
        <w:jc w:val="both"/>
        <w:rPr>
          <w:rFonts w:ascii="Bookman Old Style" w:eastAsia="Times New Roman" w:hAnsi="Bookman Old Style" w:cs="Arial"/>
          <w:sz w:val="28"/>
          <w:szCs w:val="28"/>
          <w:lang w:val="es-CO"/>
        </w:rPr>
      </w:pPr>
      <w:r w:rsidRPr="00C028BE">
        <w:rPr>
          <w:rFonts w:ascii="Bookman Old Style" w:eastAsia="Times New Roman" w:hAnsi="Bookman Old Style" w:cs="Arial"/>
          <w:sz w:val="28"/>
          <w:szCs w:val="28"/>
          <w:lang w:val="es-CO"/>
        </w:rPr>
        <w:t>17.1 Es bueno precisar, que el hecho de no mencionar explícitamente  determinado elemento persuasivo obrante en los autos, mucho menos cuando el análisis global de las pruebas se colmó, no revela necesariamente que en la especie bajo estudio, hubo un error con suficiente entidad como para deducir que las escrituras públicas atacadas adolecen de nulidad absoluta.</w:t>
      </w:r>
    </w:p>
    <w:p w:rsidR="00C028BE" w:rsidRPr="00C028BE" w:rsidRDefault="00C028BE" w:rsidP="00C028BE">
      <w:pPr>
        <w:spacing w:after="0" w:line="360" w:lineRule="auto"/>
        <w:ind w:firstLine="708"/>
        <w:jc w:val="both"/>
        <w:rPr>
          <w:rFonts w:ascii="Bookman Old Style" w:eastAsia="Times New Roman" w:hAnsi="Bookman Old Style" w:cs="Arial"/>
          <w:color w:val="FF0000"/>
          <w:sz w:val="28"/>
          <w:szCs w:val="28"/>
          <w:lang w:val="es-CO"/>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Así lo ha recordado la Sala al sostener:</w:t>
      </w:r>
    </w:p>
    <w:p w:rsidR="00C028BE" w:rsidRPr="00C028BE" w:rsidRDefault="00C028BE" w:rsidP="00C028BE">
      <w:pPr>
        <w:autoSpaceDE w:val="0"/>
        <w:autoSpaceDN w:val="0"/>
        <w:spacing w:after="0" w:line="360" w:lineRule="auto"/>
        <w:ind w:left="708" w:firstLine="90"/>
        <w:jc w:val="both"/>
        <w:rPr>
          <w:rFonts w:ascii="Bookman Old Style" w:eastAsia="Calibri" w:hAnsi="Bookman Old Style" w:cs="Times New Roman"/>
          <w:i/>
          <w:sz w:val="24"/>
          <w:szCs w:val="24"/>
          <w:lang w:val="es-MX"/>
        </w:rPr>
      </w:pPr>
    </w:p>
    <w:p w:rsidR="00C028BE" w:rsidRPr="00C028BE" w:rsidRDefault="00C028BE" w:rsidP="00C028BE">
      <w:pPr>
        <w:autoSpaceDE w:val="0"/>
        <w:autoSpaceDN w:val="0"/>
        <w:spacing w:after="0" w:line="360" w:lineRule="auto"/>
        <w:ind w:left="708" w:firstLine="90"/>
        <w:jc w:val="both"/>
        <w:rPr>
          <w:rFonts w:ascii="Bookman Old Style" w:eastAsia="Calibri" w:hAnsi="Bookman Old Style" w:cs="Times New Roman"/>
          <w:sz w:val="24"/>
          <w:szCs w:val="24"/>
          <w:lang w:val="es-MX"/>
        </w:rPr>
      </w:pPr>
      <w:r w:rsidRPr="00C028BE">
        <w:rPr>
          <w:rFonts w:ascii="Bookman Old Style" w:eastAsia="Calibri" w:hAnsi="Bookman Old Style" w:cs="Times New Roman"/>
          <w:i/>
          <w:sz w:val="24"/>
          <w:szCs w:val="24"/>
          <w:lang w:val="es-MX"/>
        </w:rPr>
        <w:t xml:space="preserve">“la mera circunstancia de que en un fallo no se cite determinada prueba o parte del contenido de la misma no implica error manifiesto de hecho, a menos que de haber apreciado tal medio la conclusión del pronunciamiento hubiera tenido que ser evidentemente distinta de la adoptada por el sentenciador </w:t>
      </w:r>
      <w:r w:rsidRPr="00C028BE">
        <w:rPr>
          <w:rFonts w:ascii="Bookman Old Style" w:eastAsia="Calibri" w:hAnsi="Bookman Old Style" w:cs="Times New Roman"/>
          <w:sz w:val="24"/>
          <w:szCs w:val="24"/>
          <w:lang w:val="es-MX"/>
        </w:rPr>
        <w:t xml:space="preserve">(…)” (CSJ SC de 24 de noviembre de 2009, rad. 2003-00500-01). </w:t>
      </w:r>
    </w:p>
    <w:p w:rsidR="00C028BE" w:rsidRPr="00C028BE" w:rsidRDefault="00C028BE" w:rsidP="00C028BE">
      <w:pPr>
        <w:autoSpaceDE w:val="0"/>
        <w:autoSpaceDN w:val="0"/>
        <w:spacing w:after="0" w:line="360" w:lineRule="auto"/>
        <w:ind w:firstLine="851"/>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851"/>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17.2 De esta forma, al margen del mérito que le hubiere otorgado el Tribunal a la versión dada por el demandado en el interrogatorio de parte visto en los folios 1 a 3 del cuaderno de pruebas, tal circunstancia se muestra intrascendente para los efectos de devastar la decisión combatida pues, </w:t>
      </w:r>
      <w:r w:rsidRPr="00C028BE">
        <w:rPr>
          <w:rFonts w:ascii="Bookman Old Style" w:eastAsia="Times New Roman" w:hAnsi="Bookman Old Style" w:cs="Arial"/>
          <w:sz w:val="28"/>
          <w:szCs w:val="28"/>
          <w:lang w:val="es-CO" w:eastAsia="es-ES"/>
        </w:rPr>
        <w:t xml:space="preserve">“... </w:t>
      </w:r>
      <w:r w:rsidRPr="00C028BE">
        <w:rPr>
          <w:rFonts w:ascii="Bookman Old Style" w:eastAsia="Times New Roman" w:hAnsi="Bookman Old Style" w:cs="Arial"/>
          <w:i/>
          <w:sz w:val="28"/>
          <w:szCs w:val="28"/>
          <w:lang w:val="es-CO" w:eastAsia="es-ES"/>
        </w:rPr>
        <w:t>para que la violación de la ley adquiera real incidencia en casación, es menester que tenga consecuencia directa en la parte resolutiva del fallo, (…), sin esa forzosa trascendencia en la conclusión final, no alcanzan a obtener la prosperidad del recurso”</w:t>
      </w:r>
      <w:r w:rsidRPr="00C028BE">
        <w:rPr>
          <w:rFonts w:ascii="Bookman Old Style" w:eastAsia="Times New Roman" w:hAnsi="Bookman Old Style" w:cs="Arial"/>
          <w:sz w:val="28"/>
          <w:szCs w:val="28"/>
          <w:lang w:val="es-CO" w:eastAsia="es-ES"/>
        </w:rPr>
        <w:t xml:space="preserve">. (CSJ SC Sent. 19 de mayo de 2004, Radicación n. </w:t>
      </w:r>
      <w:r w:rsidRPr="00C028BE">
        <w:rPr>
          <w:rFonts w:ascii="Bookman Old Style" w:eastAsia="Times New Roman" w:hAnsi="Bookman Old Style" w:cs="Arial"/>
          <w:sz w:val="28"/>
          <w:szCs w:val="28"/>
          <w:lang w:val="es-CO" w:eastAsia="es-ES"/>
        </w:rPr>
        <w:lastRenderedPageBreak/>
        <w:t xml:space="preserve">7145. Reiterado en Cas. Civ. Nov. </w:t>
      </w:r>
      <w:r w:rsidRPr="00C028BE">
        <w:rPr>
          <w:rFonts w:ascii="Bookman Old Style" w:eastAsia="Times New Roman" w:hAnsi="Bookman Old Style" w:cs="Arial"/>
          <w:sz w:val="28"/>
          <w:szCs w:val="28"/>
          <w:lang w:eastAsia="es-ES"/>
        </w:rPr>
        <w:t>9 de 2006, Radicación n 00684 – 01).</w:t>
      </w:r>
    </w:p>
    <w:p w:rsidR="00C028BE" w:rsidRPr="00C028BE" w:rsidRDefault="00C028BE" w:rsidP="00C028BE">
      <w:pPr>
        <w:spacing w:after="0" w:line="360" w:lineRule="auto"/>
        <w:ind w:firstLine="708"/>
        <w:jc w:val="both"/>
        <w:rPr>
          <w:rFonts w:ascii="Bookman Old Style" w:eastAsia="Times New Roman" w:hAnsi="Bookman Old Style" w:cs="Times New Roman"/>
          <w:color w:val="FF0000"/>
          <w:sz w:val="24"/>
          <w:szCs w:val="24"/>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En efecto, si en el asunto que transita por la Corte, se ventila una pretensión de nulidad absoluta de un acto, y el motivo fundamental para que la sentencia recurrida la desestimara consistió en que había un mandato judicial conforme al cual se suscribió una escritura y se procedió a su posterior registro, la valoración del interrogatorio de parte del demandado, del que se predica la existencia de una confesión, resulta inidóneo frente a lo que entendió el Tribunal, ordenó el Juzgado Sexto de Familia.</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Por ende, indistintamente del mérito persuasivo que se le hubiere dispensado a lo que esgrime el recurrente es una prueba de confesión, ello en nada desviaría el direccionamiento del fallo enjuiciado.</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18. Cuanto hace a la contestación de la demanda, el impugnante trasunta apartes de los hechos respondidos en el escrito de réplica obrante en los folios 112 a 130 del cuaderno 2, pero omite fundamentar la verdadera razón del por qué lo ahí asentado fue desconocido por el Tribunal, más allá de volver a insistir en que la suscripción de la escritura 3491 “</w:t>
      </w:r>
      <w:r w:rsidRPr="00C028BE">
        <w:rPr>
          <w:rFonts w:ascii="Bookman Old Style" w:eastAsia="Times New Roman" w:hAnsi="Bookman Old Style" w:cs="Times New Roman"/>
          <w:i/>
          <w:sz w:val="28"/>
          <w:szCs w:val="28"/>
          <w:lang w:val="es-CO"/>
        </w:rPr>
        <w:t>se otorgó sin el soporte legal respectivo</w:t>
      </w:r>
      <w:r w:rsidRPr="00C028BE">
        <w:rPr>
          <w:rFonts w:ascii="Bookman Old Style" w:eastAsia="Times New Roman" w:hAnsi="Bookman Old Style" w:cs="Times New Roman"/>
          <w:sz w:val="28"/>
          <w:szCs w:val="28"/>
          <w:lang w:val="es-CO"/>
        </w:rPr>
        <w:t>”, desconociendo, informa, “</w:t>
      </w:r>
      <w:r w:rsidRPr="00C028BE">
        <w:rPr>
          <w:rFonts w:ascii="Bookman Old Style" w:eastAsia="Times New Roman" w:hAnsi="Bookman Old Style" w:cs="Times New Roman"/>
          <w:i/>
          <w:sz w:val="28"/>
          <w:szCs w:val="28"/>
          <w:lang w:val="es-CO"/>
        </w:rPr>
        <w:t>la seguridad jurídica y los derechos de los terceros que no pueden ser conculcados</w:t>
      </w:r>
      <w:r w:rsidRPr="00C028BE">
        <w:rPr>
          <w:rFonts w:ascii="Bookman Old Style" w:eastAsia="Times New Roman" w:hAnsi="Bookman Old Style" w:cs="Times New Roman"/>
          <w:sz w:val="28"/>
          <w:szCs w:val="28"/>
          <w:lang w:val="es-CO"/>
        </w:rPr>
        <w:t>”.</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 xml:space="preserve">18.1 Adicionalmente, revisado el escrito de cuya inobservancia se duele la crítica, basta advertir, que el </w:t>
      </w:r>
      <w:r w:rsidRPr="00C028BE">
        <w:rPr>
          <w:rFonts w:ascii="Bookman Old Style" w:eastAsia="Times New Roman" w:hAnsi="Bookman Old Style" w:cs="Times New Roman"/>
          <w:sz w:val="28"/>
          <w:szCs w:val="28"/>
          <w:lang w:val="es-CO"/>
        </w:rPr>
        <w:lastRenderedPageBreak/>
        <w:t>apoderado de los convocados aludió explícitamente a que el cimiento de la escritura y posterior registro devino de la decisión del Juzgado Sexto de Familia de Bogotá. Así, sobre el hecho 14 del libelo introductor, trasuntado en su exacta extensión, dijo: “</w:t>
      </w:r>
      <w:r w:rsidRPr="00C028BE">
        <w:rPr>
          <w:rFonts w:ascii="Bookman Old Style" w:eastAsia="Times New Roman" w:hAnsi="Bookman Old Style" w:cs="Times New Roman"/>
          <w:i/>
          <w:sz w:val="28"/>
          <w:szCs w:val="28"/>
          <w:lang w:val="es-CO"/>
        </w:rPr>
        <w:t>ES PARCIALMENTE CIERTO, EL Despacho del Juzgado 6 de Familia de Bogotá realizo (sic) un ajuste a la partición, que fue inscrita el día 3 de febrero de 1996, en ella se englobaron los folios de matrícula inmobiliaria No 50N-87725, 50N-87726 y 50N-340515 que dan origen al folio de matrícula inmobiliaria No 50N-20368431, pero en el documento inicial se omitió por parte de la Oficina de Registro de Instrumentos Públicos de Bogotá, realizar la operación aritmética para determinar la cabida TOTAL del globo de terreno formado por los predios LA ÑAPA, LOS LAURELES y EL ENCERRADO</w:t>
      </w:r>
      <w:r w:rsidRPr="00C028BE">
        <w:rPr>
          <w:rFonts w:ascii="Bookman Old Style" w:eastAsia="Times New Roman" w:hAnsi="Bookman Old Style" w:cs="Times New Roman"/>
          <w:sz w:val="28"/>
          <w:szCs w:val="28"/>
          <w:lang w:val="es-CO"/>
        </w:rPr>
        <w:t>”.</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De donde, como se ha visto, cuando se inscribió la anotación contentiva del instrumento acusado de nulidad, “</w:t>
      </w:r>
      <w:r w:rsidRPr="00C028BE">
        <w:rPr>
          <w:rFonts w:ascii="Bookman Old Style" w:eastAsia="Times New Roman" w:hAnsi="Bookman Old Style" w:cs="Times New Roman"/>
          <w:i/>
          <w:sz w:val="28"/>
          <w:szCs w:val="28"/>
          <w:lang w:val="es-CO"/>
        </w:rPr>
        <w:t>el documento inicial</w:t>
      </w:r>
      <w:r w:rsidRPr="00C028BE">
        <w:rPr>
          <w:rFonts w:ascii="Bookman Old Style" w:eastAsia="Times New Roman" w:hAnsi="Bookman Old Style" w:cs="Times New Roman"/>
          <w:sz w:val="28"/>
          <w:szCs w:val="28"/>
          <w:lang w:val="es-CO"/>
        </w:rPr>
        <w:t xml:space="preserve">” al que refiere el memorial de defensa del extremo pasivo, no era otro que la decisión que aprobaba la partición, y la Oficina pública correspondiente omitió registrar que los predios LA ÑAPA y LOS LAURELES </w:t>
      </w:r>
      <w:r w:rsidRPr="00C028BE">
        <w:rPr>
          <w:rFonts w:ascii="Bookman Old Style" w:eastAsia="Times New Roman" w:hAnsi="Bookman Old Style" w:cs="Times New Roman"/>
          <w:i/>
          <w:sz w:val="28"/>
          <w:szCs w:val="28"/>
          <w:lang w:val="es-CO"/>
        </w:rPr>
        <w:t>“quedaron anexados por el catastro al predio EL ENCERRADO</w:t>
      </w:r>
      <w:r w:rsidRPr="00C028BE">
        <w:rPr>
          <w:rFonts w:ascii="Bookman Old Style" w:eastAsia="Times New Roman" w:hAnsi="Bookman Old Style" w:cs="Times New Roman"/>
          <w:sz w:val="28"/>
          <w:szCs w:val="28"/>
          <w:lang w:val="es-CO"/>
        </w:rPr>
        <w:t>”, como se clarificó ulteriormente con la providencia de 12 de diciembre de 1995 (folios 156-158 del cuaderno 2), y validado también con la Resolución del IGAC No 25-326-0034 de 30 de julio de 2008, “</w:t>
      </w:r>
      <w:r w:rsidRPr="00C028BE">
        <w:rPr>
          <w:rFonts w:ascii="Bookman Old Style" w:eastAsia="Times New Roman" w:hAnsi="Bookman Old Style" w:cs="Times New Roman"/>
          <w:i/>
          <w:sz w:val="28"/>
          <w:szCs w:val="28"/>
          <w:lang w:val="es-CO"/>
        </w:rPr>
        <w:t>por la cual se ordena unos cambios en el catastro del municipio de Guatavita</w:t>
      </w:r>
      <w:r w:rsidRPr="00C028BE">
        <w:rPr>
          <w:rFonts w:ascii="Bookman Old Style" w:eastAsia="Times New Roman" w:hAnsi="Bookman Old Style" w:cs="Times New Roman"/>
          <w:sz w:val="28"/>
          <w:szCs w:val="28"/>
          <w:lang w:val="es-CO"/>
        </w:rPr>
        <w:t xml:space="preserve">”, en las que las hectáreas del inmueble en disputa, pasan de 42 a 54.4160 (folios 687, 688). </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lastRenderedPageBreak/>
        <w:t>18.2 Lo anterior fue corroborado por las decisiones adoptadas en sede administrativa por la Oficina de Registro de Instrumentos Públicos de Bogotá –zona norte- (folios 206-212 del cuaderno 1) y por la Jefatura del Área de Conservación Dirección Territorial Cundinamarca del IGAC (folios 639-654 del cuaderno 2).</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Con la primera, se decidió negativamente sobre la revocatoria directa que ordenó inscribir la escritura mencionada, explicándose:</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left="708"/>
        <w:jc w:val="both"/>
        <w:rPr>
          <w:rFonts w:ascii="Bookman Old Style" w:eastAsia="Times New Roman" w:hAnsi="Bookman Old Style" w:cs="Times New Roman"/>
          <w:i/>
          <w:sz w:val="24"/>
          <w:szCs w:val="24"/>
          <w:lang w:val="es-CO"/>
        </w:rPr>
      </w:pPr>
      <w:r w:rsidRPr="00C028BE">
        <w:rPr>
          <w:rFonts w:ascii="Bookman Old Style" w:eastAsia="Times New Roman" w:hAnsi="Bookman Old Style" w:cs="Times New Roman"/>
          <w:i/>
          <w:sz w:val="24"/>
          <w:szCs w:val="24"/>
          <w:lang w:val="es-CO"/>
        </w:rPr>
        <w:t>“En el evento que ahora colma la atención, se observa que el fundamento de las declaraciones de voluntad vertidas en el acto escriturario objeto del instrumento autorizado con el número 3491 de 18 de junio de 2008 por parte de la Notaría 45 del Círculo de Bogotá D.C., radicó en el procedimiento de englobe tramitado y aprobado mediante sentencia proferida el día 4 de agosto de 1995 por el Juzgado Sexto de Familia de Bogotá D.C según consta en la cláusula segunda de ese instrumento. Y el acto de englobe objeto del mismo tuvo que ver con la agregación al área del predio EL ENCERRADO de las áreas correspondientes a los bienes raíces nominados LA ÑAPA y LOS LAURELES, los cuales sumaban un total de 12 hectáreas y 4160 metros cuadrados y que agregados a las 42 hectáreas iniciales del inmueble EL ENCERRADO, arroja un total equivalente a 54 hectáreas y 4160 metros cuadrados”.</w:t>
      </w:r>
    </w:p>
    <w:p w:rsidR="00C028BE" w:rsidRPr="00C028BE" w:rsidRDefault="00C028BE" w:rsidP="00C028BE">
      <w:pPr>
        <w:spacing w:after="0" w:line="360" w:lineRule="auto"/>
        <w:ind w:left="708"/>
        <w:jc w:val="both"/>
        <w:rPr>
          <w:rFonts w:ascii="Bookman Old Style" w:eastAsia="Times New Roman" w:hAnsi="Bookman Old Style" w:cs="Times New Roman"/>
          <w:i/>
          <w:sz w:val="24"/>
          <w:szCs w:val="24"/>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 xml:space="preserve">Por su parte, en similar pronunciamiento al trasuntado —acto administrativo este en que también el Tribunal apoyó su sentencia—, el Instituto Geográfico Agustín Codazzi resolvió una petición de revocatoria directa sobre la decisión que ordenó una rectificación de superficie, entre ellas la del </w:t>
      </w:r>
      <w:r w:rsidRPr="00C028BE">
        <w:rPr>
          <w:rFonts w:ascii="Bookman Old Style" w:eastAsia="Times New Roman" w:hAnsi="Bookman Old Style" w:cs="Times New Roman"/>
          <w:sz w:val="28"/>
          <w:szCs w:val="28"/>
          <w:lang w:val="es-CO"/>
        </w:rPr>
        <w:lastRenderedPageBreak/>
        <w:t>bien conocido como el ENCERRADO y, previo a desestimarla, señaló:</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left="708"/>
        <w:jc w:val="both"/>
        <w:rPr>
          <w:rFonts w:ascii="Bookman Old Style" w:eastAsia="Times New Roman" w:hAnsi="Bookman Old Style" w:cs="Times New Roman"/>
          <w:i/>
          <w:sz w:val="24"/>
          <w:szCs w:val="24"/>
          <w:lang w:val="es-CO"/>
        </w:rPr>
      </w:pPr>
      <w:r w:rsidRPr="00C028BE">
        <w:rPr>
          <w:rFonts w:ascii="Bookman Old Style" w:eastAsia="Times New Roman" w:hAnsi="Bookman Old Style" w:cs="Times New Roman"/>
          <w:i/>
          <w:sz w:val="24"/>
          <w:szCs w:val="24"/>
          <w:lang w:val="es-CO"/>
        </w:rPr>
        <w:t>“Con relación al predio identificado con número catastral 00-00-0003-0216-000, denominado EL ENCERRADO, catastralmente venía figurando con 42 hectáreas, pero no se había tenido en cuenta la actualización de área cuando en la adjudicación de sucesión de la sentencia del Juzgado Sexto de Familia de Bogotá de fecha 4 de agosto de 1995, se incluían y englobaban a este inmueble las áreas de los predios denominados LA ÑAPA y LOS LAURELES, predios que se habían omitido en los archivos catastrales por la NO presentación de títulos y certificados de libertad. Los predios denominados LA ÑAPA y LOS LAURELES suman en total 12 hectáreas 4.160 metros cuadrados, que sumados a las 42 hectáreas arroja un total de 54 hectáreas 4160 metros cuadrados”.</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Por consiguiente, el error imputado no se configura.</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19. De las declaraciones de los testigos JORGE CEBALLOS ALZATE, PEDRO MANUEL MORENO MAHECHA, LUÍS GILBERTO BARAJAS y ÓSCAR ÁLVARO SUÁREZ, según las que, expresa el libelista, “</w:t>
      </w:r>
      <w:r w:rsidRPr="00C028BE">
        <w:rPr>
          <w:rFonts w:ascii="Bookman Old Style" w:eastAsia="Times New Roman" w:hAnsi="Bookman Old Style" w:cs="Times New Roman"/>
          <w:i/>
          <w:sz w:val="28"/>
          <w:szCs w:val="28"/>
          <w:lang w:val="es-CO"/>
        </w:rPr>
        <w:t>se deduce con claridad meridiana que los linderos del lote englobado EL ENCERRADO no estaban determinados ni por ende el área del inmueble, antes de la suscripción de la escritura pública 3491 de 2008, (…) no tenidas en cuenta por el Tribunal (…)</w:t>
      </w:r>
      <w:r w:rsidRPr="00C028BE">
        <w:rPr>
          <w:rFonts w:ascii="Bookman Old Style" w:eastAsia="Times New Roman" w:hAnsi="Bookman Old Style" w:cs="Times New Roman"/>
          <w:sz w:val="28"/>
          <w:szCs w:val="28"/>
          <w:lang w:val="es-CO"/>
        </w:rPr>
        <w:t>”, observa la Sala que, tal preterición, en sí misma refulge igualmente intrascendente.</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 xml:space="preserve">19.1 En efecto, la prueba testimonial no tiene la suficiencia para desconocer el aserto sobre el que el Tribunal fundó su decisión al razonar que aunque los lindes del </w:t>
      </w:r>
      <w:r w:rsidRPr="00C028BE">
        <w:rPr>
          <w:rFonts w:ascii="Bookman Old Style" w:eastAsia="Times New Roman" w:hAnsi="Bookman Old Style" w:cs="Times New Roman"/>
          <w:sz w:val="28"/>
          <w:szCs w:val="28"/>
          <w:lang w:val="es-CO"/>
        </w:rPr>
        <w:lastRenderedPageBreak/>
        <w:t>inmueble EL ENCERRADO no estaban determinados, al momento de rubricarse las escrituras atacadas, “</w:t>
      </w:r>
      <w:r w:rsidRPr="00C028BE">
        <w:rPr>
          <w:rFonts w:ascii="Bookman Old Style" w:eastAsia="Times New Roman" w:hAnsi="Bookman Old Style" w:cs="Times New Roman"/>
          <w:i/>
          <w:sz w:val="28"/>
          <w:szCs w:val="28"/>
          <w:lang w:val="es-CO"/>
        </w:rPr>
        <w:t>eran determinables</w:t>
      </w:r>
      <w:r w:rsidRPr="00C028BE">
        <w:rPr>
          <w:rFonts w:ascii="Bookman Old Style" w:eastAsia="Times New Roman" w:hAnsi="Bookman Old Style" w:cs="Times New Roman"/>
          <w:sz w:val="28"/>
          <w:szCs w:val="28"/>
          <w:lang w:val="es-CO"/>
        </w:rPr>
        <w:t>” con base en el plurimencionado pronunciamiento del Juzgado Sexto de Familia de Bogotá, de modo que, por una parte, a pesar de que el fallador acepta que los límites de la finca no estaban fijados concluyentemente, expresó que eran “</w:t>
      </w:r>
      <w:r w:rsidRPr="00C028BE">
        <w:rPr>
          <w:rFonts w:ascii="Bookman Old Style" w:eastAsia="Times New Roman" w:hAnsi="Bookman Old Style" w:cs="Times New Roman"/>
          <w:i/>
          <w:sz w:val="28"/>
          <w:szCs w:val="28"/>
          <w:lang w:val="es-CO"/>
        </w:rPr>
        <w:t>determinables</w:t>
      </w:r>
      <w:r w:rsidRPr="00C028BE">
        <w:rPr>
          <w:rFonts w:ascii="Bookman Old Style" w:eastAsia="Times New Roman" w:hAnsi="Bookman Old Style" w:cs="Times New Roman"/>
          <w:sz w:val="28"/>
          <w:szCs w:val="28"/>
          <w:lang w:val="es-CO"/>
        </w:rPr>
        <w:t>”, tópico huérfano de reproche.</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19.2 De otra, aún valorando las versiones que el recurrente echa de menos en el análisis del juez de segunda instancia, ellas no desvirtuarían el puntal sobre el que se estructuró la sentencia por no ser bastantes para ubicarse en jerarquía superior al examen documental realizado por el</w:t>
      </w:r>
      <w:r w:rsidRPr="00C028BE">
        <w:rPr>
          <w:rFonts w:ascii="Bookman Old Style" w:eastAsia="Times New Roman" w:hAnsi="Bookman Old Style" w:cs="Times New Roman"/>
          <w:i/>
          <w:sz w:val="28"/>
          <w:szCs w:val="28"/>
          <w:lang w:val="es-CO"/>
        </w:rPr>
        <w:t xml:space="preserve"> ad quem</w:t>
      </w:r>
      <w:r w:rsidRPr="00C028BE">
        <w:rPr>
          <w:rFonts w:ascii="Bookman Old Style" w:eastAsia="Times New Roman" w:hAnsi="Bookman Old Style" w:cs="Times New Roman"/>
          <w:sz w:val="28"/>
          <w:szCs w:val="28"/>
          <w:lang w:val="es-CO"/>
        </w:rPr>
        <w:t>.</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20. Según el casacionista, se omitió analizar el proceso de deslinde y amojonamiento seguido para determinar los confines del predio EL ENCERRADO con respecto a la finca LOURDES, actuación que terminó tras aprobarse por el Juzgado Civil del Circuito de Chocontá, en la diligencia de inspección judicial realizada el 17 de noviembre de 2007,  la conciliación alcanzada (folios 398-401).</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Argumenta el recurrente, que los opositores no acataron los términos del acuerdo, y manifestó, que son desacertadas las conclusiones probatorias del Tribunal debido a que antes de suscribirse las escrituras denunciadas no estaba alinderada la superficie del ENCERRADO, equivocándose al discurrir que a lo menos los límites del inmueble eran </w:t>
      </w:r>
      <w:r w:rsidRPr="00C028BE">
        <w:rPr>
          <w:rFonts w:ascii="Bookman Old Style" w:eastAsia="Times New Roman" w:hAnsi="Bookman Old Style" w:cs="Arial"/>
          <w:i/>
          <w:sz w:val="28"/>
          <w:szCs w:val="28"/>
          <w:lang w:eastAsia="es-ES"/>
        </w:rPr>
        <w:lastRenderedPageBreak/>
        <w:t>“determinables</w:t>
      </w:r>
      <w:r w:rsidRPr="00C028BE">
        <w:rPr>
          <w:rFonts w:ascii="Bookman Old Style" w:eastAsia="Times New Roman" w:hAnsi="Bookman Old Style" w:cs="Arial"/>
          <w:sz w:val="28"/>
          <w:szCs w:val="28"/>
          <w:lang w:eastAsia="es-ES"/>
        </w:rPr>
        <w:t>”, toda vez que, dijo, el juicio mencionado “</w:t>
      </w:r>
      <w:r w:rsidRPr="00C028BE">
        <w:rPr>
          <w:rFonts w:ascii="Bookman Old Style" w:eastAsia="Times New Roman" w:hAnsi="Bookman Old Style" w:cs="Arial"/>
          <w:i/>
          <w:sz w:val="28"/>
          <w:szCs w:val="28"/>
          <w:lang w:eastAsia="es-ES"/>
        </w:rPr>
        <w:t>es buena prueba de que eso no era así</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20.1 Para los propósitos que interesan al recurso extraordinario, el Tribunal, contrario a lo afirmado en el libelo casacional sí tuvo en cuenta el acuerdo conciliatorio con el que finalizó el proceso de que tratan los artículos 460 y siguientes del CPC, pero le dispensó una valoración que olvida la censura.</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Nótese que el penúltimo razonamiento de la sentencia combatida explícitamente dijo que, como nuestro sistema positivo “</w:t>
      </w:r>
      <w:r w:rsidRPr="00C028BE">
        <w:rPr>
          <w:rFonts w:ascii="Bookman Old Style" w:eastAsia="Times New Roman" w:hAnsi="Bookman Old Style" w:cs="Times New Roman"/>
          <w:i/>
          <w:sz w:val="28"/>
          <w:szCs w:val="28"/>
          <w:lang w:val="es-CO"/>
        </w:rPr>
        <w:t>no concibe como causal de nulidad absoluta de una escritura pública, la existencia de una conciliación previa, (…) sin miramiento alguno, se va al traste la disertación que a este tenor hace la demandante</w:t>
      </w:r>
      <w:r w:rsidRPr="00C028BE">
        <w:rPr>
          <w:rFonts w:ascii="Bookman Old Style" w:eastAsia="Times New Roman" w:hAnsi="Bookman Old Style" w:cs="Times New Roman"/>
          <w:sz w:val="28"/>
          <w:szCs w:val="28"/>
          <w:lang w:val="es-CO"/>
        </w:rPr>
        <w:t>”.</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r w:rsidRPr="00C028BE">
        <w:rPr>
          <w:rFonts w:ascii="Bookman Old Style" w:eastAsia="Times New Roman" w:hAnsi="Bookman Old Style" w:cs="Times New Roman"/>
          <w:sz w:val="28"/>
          <w:szCs w:val="28"/>
          <w:lang w:val="es-CO"/>
        </w:rPr>
        <w:t>20.2 En adición a lo expuesto, aunque este último apartado del ataque, sí involucra un embate a la reflexión del juzgador, luego de esgrimir que los linderos del predio el ENCERRADO, a lo menos eran “</w:t>
      </w:r>
      <w:r w:rsidRPr="00C028BE">
        <w:rPr>
          <w:rFonts w:ascii="Bookman Old Style" w:eastAsia="Times New Roman" w:hAnsi="Bookman Old Style" w:cs="Times New Roman"/>
          <w:i/>
          <w:sz w:val="28"/>
          <w:szCs w:val="28"/>
          <w:lang w:val="es-CO"/>
        </w:rPr>
        <w:t>determinables</w:t>
      </w:r>
      <w:r w:rsidRPr="00C028BE">
        <w:rPr>
          <w:rFonts w:ascii="Bookman Old Style" w:eastAsia="Times New Roman" w:hAnsi="Bookman Old Style" w:cs="Times New Roman"/>
          <w:sz w:val="28"/>
          <w:szCs w:val="28"/>
          <w:lang w:val="es-CO"/>
        </w:rPr>
        <w:t>”, se limitó a decir, cual se anotó en precedencia, que el juicio del que se duele no se consideró prueba suficiente de que “</w:t>
      </w:r>
      <w:r w:rsidRPr="00C028BE">
        <w:rPr>
          <w:rFonts w:ascii="Bookman Old Style" w:eastAsia="Times New Roman" w:hAnsi="Bookman Old Style" w:cs="Times New Roman"/>
          <w:i/>
          <w:sz w:val="28"/>
          <w:szCs w:val="28"/>
          <w:lang w:val="es-CO"/>
        </w:rPr>
        <w:t>eso no era así</w:t>
      </w:r>
      <w:r w:rsidRPr="00C028BE">
        <w:rPr>
          <w:rFonts w:ascii="Bookman Old Style" w:eastAsia="Times New Roman" w:hAnsi="Bookman Old Style" w:cs="Times New Roman"/>
          <w:sz w:val="28"/>
          <w:szCs w:val="28"/>
          <w:lang w:val="es-CO"/>
        </w:rPr>
        <w:t>”.</w:t>
      </w:r>
    </w:p>
    <w:p w:rsidR="00C028BE" w:rsidRPr="00C028BE" w:rsidRDefault="00C028BE" w:rsidP="00C028BE">
      <w:pPr>
        <w:spacing w:after="0" w:line="360" w:lineRule="auto"/>
        <w:ind w:firstLine="708"/>
        <w:jc w:val="both"/>
        <w:rPr>
          <w:rFonts w:ascii="Bookman Old Style" w:eastAsia="Times New Roman" w:hAnsi="Bookman Old Style" w:cs="Times New Roman"/>
          <w:sz w:val="28"/>
          <w:szCs w:val="28"/>
          <w:lang w:val="es-CO"/>
        </w:rPr>
      </w:pPr>
    </w:p>
    <w:p w:rsidR="00C028BE" w:rsidRPr="00C028BE" w:rsidRDefault="00C028BE" w:rsidP="00C028BE">
      <w:pPr>
        <w:spacing w:after="0" w:line="360" w:lineRule="auto"/>
        <w:ind w:firstLine="708"/>
        <w:jc w:val="both"/>
        <w:rPr>
          <w:rFonts w:ascii="Bookman Old Style" w:eastAsia="Times New Roman" w:hAnsi="Bookman Old Style" w:cs="Times New Roman"/>
          <w:spacing w:val="-2"/>
          <w:sz w:val="28"/>
          <w:szCs w:val="28"/>
          <w:lang w:val="es-CO"/>
        </w:rPr>
      </w:pPr>
      <w:r w:rsidRPr="00C028BE">
        <w:rPr>
          <w:rFonts w:ascii="Bookman Old Style" w:eastAsia="Times New Roman" w:hAnsi="Bookman Old Style" w:cs="Times New Roman"/>
          <w:sz w:val="28"/>
          <w:szCs w:val="28"/>
          <w:lang w:val="es-CO"/>
        </w:rPr>
        <w:t xml:space="preserve">Por sabido se tiene que la sola referencia al desconocimiento de un medio de convicción, no es bastante para derruir los fundamentos del fallo que se combate. La exigente tarea del recurso extraordinario de casación impone demostrar que el sentenciador, </w:t>
      </w:r>
      <w:r w:rsidRPr="00C028BE">
        <w:rPr>
          <w:rFonts w:ascii="Bookman Old Style" w:eastAsia="Times New Roman" w:hAnsi="Bookman Old Style" w:cs="Times New Roman"/>
          <w:spacing w:val="-2"/>
          <w:sz w:val="28"/>
          <w:szCs w:val="28"/>
          <w:lang w:val="es-CO"/>
        </w:rPr>
        <w:t xml:space="preserve">desligado de toda lógica y </w:t>
      </w:r>
      <w:r w:rsidRPr="00C028BE">
        <w:rPr>
          <w:rFonts w:ascii="Bookman Old Style" w:eastAsia="Times New Roman" w:hAnsi="Bookman Old Style" w:cs="Times New Roman"/>
          <w:spacing w:val="-2"/>
          <w:sz w:val="28"/>
          <w:szCs w:val="28"/>
          <w:lang w:val="es-CO"/>
        </w:rPr>
        <w:lastRenderedPageBreak/>
        <w:t xml:space="preserve">sensatez, valoró antojadiza e inicuamente el elemento persuasivo, pero aquí, no hay señalamientos explícitos frente a las implicaciones derivadas del yerro denunciado, que tampoco pudo probar, por suerte que el </w:t>
      </w:r>
      <w:r w:rsidRPr="00C028BE">
        <w:rPr>
          <w:rFonts w:ascii="Bookman Old Style" w:eastAsia="Times New Roman" w:hAnsi="Bookman Old Style" w:cs="Times New Roman"/>
          <w:spacing w:val="-2"/>
          <w:sz w:val="28"/>
          <w:szCs w:val="28"/>
          <w:lang w:val="es-ES_tradnl"/>
        </w:rPr>
        <w:t>ataque carece de la contundencia necesaria para arruinar la inteligencia propuesta en la segunda instancia.</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Conviene entonces recordar, que si la crítica se hace mover en el ámbito del primero de los motivos de casación,  como consecuencia de error de hecho en la apreciación de las pruebas, es necesario, además, que el acusador “</w:t>
      </w:r>
      <w:r w:rsidRPr="00C028BE">
        <w:rPr>
          <w:rFonts w:ascii="Bookman Old Style" w:eastAsia="Times New Roman" w:hAnsi="Bookman Old Style" w:cs="Arial"/>
          <w:i/>
          <w:sz w:val="28"/>
          <w:szCs w:val="28"/>
          <w:lang w:eastAsia="es-ES"/>
        </w:rPr>
        <w:t>adelante la labor dialéctica que implica la confrontación entre lo que real y objetivamente fluye de la probanza respectiva y la conclusión que de ella derivó el sentenciador, pues que sólo así podrá…, dentro de los confines exactos de la acusación, ver de establecer si en verdad se presentó el desatino que con ribetes de protuberancia le endilga el casacionista</w:t>
      </w:r>
      <w:r w:rsidRPr="00C028BE">
        <w:rPr>
          <w:rFonts w:ascii="Bookman Old Style" w:eastAsia="Times New Roman" w:hAnsi="Bookman Old Style" w:cs="Arial"/>
          <w:sz w:val="28"/>
          <w:szCs w:val="28"/>
          <w:lang w:eastAsia="es-ES"/>
        </w:rPr>
        <w:t xml:space="preserve">” (G. J. T. CCXLVI, Vol. I, pag. 270; CCXLIX, II, página 1338), lo que aquí no es posible precisamente por ausencia absoluta de dicho cotejo; criterio este que la Sala ha reiterado, entre otros, en el proveído de </w:t>
      </w:r>
      <w:r w:rsidRPr="00C028BE">
        <w:rPr>
          <w:rFonts w:ascii="Bookman Old Style" w:eastAsia="Times New Roman" w:hAnsi="Bookman Old Style" w:cs="Arial"/>
          <w:bCs/>
          <w:sz w:val="28"/>
          <w:szCs w:val="28"/>
          <w:lang w:eastAsia="es-ES"/>
        </w:rPr>
        <w:t>23</w:t>
      </w:r>
      <w:r w:rsidRPr="00C028BE">
        <w:rPr>
          <w:rFonts w:ascii="Bookman Old Style" w:eastAsia="Times New Roman" w:hAnsi="Bookman Old Style" w:cs="Arial"/>
          <w:sz w:val="28"/>
          <w:szCs w:val="28"/>
          <w:lang w:eastAsia="es-ES"/>
        </w:rPr>
        <w:t xml:space="preserve"> de </w:t>
      </w:r>
      <w:r w:rsidRPr="00C028BE">
        <w:rPr>
          <w:rFonts w:ascii="Bookman Old Style" w:eastAsia="Times New Roman" w:hAnsi="Bookman Old Style" w:cs="Arial"/>
          <w:bCs/>
          <w:sz w:val="28"/>
          <w:szCs w:val="28"/>
          <w:lang w:eastAsia="es-ES"/>
        </w:rPr>
        <w:t>junio</w:t>
      </w:r>
      <w:r w:rsidRPr="00C028BE">
        <w:rPr>
          <w:rFonts w:ascii="Bookman Old Style" w:eastAsia="Times New Roman" w:hAnsi="Bookman Old Style" w:cs="Arial"/>
          <w:sz w:val="28"/>
          <w:szCs w:val="28"/>
          <w:lang w:eastAsia="es-ES"/>
        </w:rPr>
        <w:t xml:space="preserve"> de 2011, radicación n. 2003-00222-01).</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20.3 No obstante ser suficiente lo expuesto para desestimar este último yerro atribuido, bueno es destacar que, así se hiciera abstracción del defecto memorado, aquél igualmente adolece de la simetría exigible.</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 xml:space="preserve">Sí, cual fuere anotado, se estudió el resultado del proceso de deslinde que fue la conciliación a la que se llegó, </w:t>
      </w:r>
      <w:r w:rsidRPr="00C028BE">
        <w:rPr>
          <w:rFonts w:ascii="Bookman Old Style" w:eastAsia="Times New Roman" w:hAnsi="Bookman Old Style" w:cs="Arial"/>
          <w:sz w:val="28"/>
          <w:szCs w:val="28"/>
          <w:lang w:eastAsia="es-ES"/>
        </w:rPr>
        <w:lastRenderedPageBreak/>
        <w:t>pero le restó mérito persuasivo porque el desconocimiento de aquél acuerdo no constituye dentro de nuestro ordenamiento jurídico causal de nulidad absoluta, el ataque debió ser simétrico con esa exposición.</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Y, en este asunto, el censor lo que cuestionó en punto a la conciliación realizada, fue “</w:t>
      </w:r>
      <w:r w:rsidRPr="00C028BE">
        <w:rPr>
          <w:rFonts w:ascii="Bookman Old Style" w:eastAsia="Times New Roman" w:hAnsi="Bookman Old Style" w:cs="Arial"/>
          <w:i/>
          <w:sz w:val="28"/>
          <w:szCs w:val="28"/>
          <w:lang w:eastAsia="es-ES"/>
        </w:rPr>
        <w:t>que no le mereció ninguna consideración al Tribunal</w:t>
      </w:r>
      <w:r w:rsidRPr="00C028BE">
        <w:rPr>
          <w:rFonts w:ascii="Bookman Old Style" w:eastAsia="Times New Roman" w:hAnsi="Bookman Old Style" w:cs="Arial"/>
          <w:sz w:val="28"/>
          <w:szCs w:val="28"/>
          <w:lang w:eastAsia="es-ES"/>
        </w:rPr>
        <w:t>”, añadiendo, que los demandados intentaron por todos los medios soslayarla, pese a que “</w:t>
      </w:r>
      <w:r w:rsidRPr="00C028BE">
        <w:rPr>
          <w:rFonts w:ascii="Bookman Old Style" w:eastAsia="Times New Roman" w:hAnsi="Bookman Old Style" w:cs="Arial"/>
          <w:i/>
          <w:sz w:val="28"/>
          <w:szCs w:val="28"/>
          <w:lang w:eastAsia="es-ES"/>
        </w:rPr>
        <w:t xml:space="preserve">es claro que allí se determinó el lindero entre los predios EL ENCERRADO y LOURDES, el cual coincidió totalmente con la línea de demarcación de la plancha doscientos nueve 82009) (sic) </w:t>
      </w:r>
      <w:r w:rsidRPr="00C028BE">
        <w:rPr>
          <w:rFonts w:ascii="Bookman Old Style" w:eastAsia="Times New Roman" w:hAnsi="Bookman Old Style" w:cs="Arial"/>
          <w:i/>
          <w:sz w:val="28"/>
          <w:szCs w:val="28"/>
          <w:lang w:eastAsia="es-ES"/>
        </w:rPr>
        <w:tab/>
        <w:t>III D4 del Instituto Geográfico Agustín Codazzi, es decir, que no se produjo variación de ningún lindero)”</w:t>
      </w:r>
      <w:r w:rsidRPr="00C028BE">
        <w:rPr>
          <w:rFonts w:ascii="Bookman Old Style" w:eastAsia="Times New Roman" w:hAnsi="Bookman Old Style" w:cs="Arial"/>
          <w:sz w:val="28"/>
          <w:szCs w:val="28"/>
          <w:lang w:eastAsia="es-ES"/>
        </w:rPr>
        <w:t>.</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Frente a ese escenario, el reproche luce desenfocado pues, al margen del tino o desacierto del fallador en su juicio, los argumentos enarbolados desconocen la consonancia y congruencia debida respecto a lo que expresó la sentencia rebatida, vale reiterar, que “</w:t>
      </w:r>
      <w:r w:rsidRPr="00C028BE">
        <w:rPr>
          <w:rFonts w:ascii="Bookman Old Style" w:eastAsia="Times New Roman" w:hAnsi="Bookman Old Style" w:cs="Arial"/>
          <w:i/>
          <w:sz w:val="28"/>
          <w:szCs w:val="28"/>
          <w:lang w:eastAsia="es-ES"/>
        </w:rPr>
        <w:t>la existencia de una conciliación previa</w:t>
      </w:r>
      <w:r w:rsidRPr="00C028BE">
        <w:rPr>
          <w:rFonts w:ascii="Bookman Old Style" w:eastAsia="Times New Roman" w:hAnsi="Bookman Old Style" w:cs="Arial"/>
          <w:sz w:val="28"/>
          <w:szCs w:val="28"/>
          <w:lang w:eastAsia="es-ES"/>
        </w:rPr>
        <w:t>”, ante su desconocimiento, no genera “</w:t>
      </w:r>
      <w:r w:rsidRPr="00C028BE">
        <w:rPr>
          <w:rFonts w:ascii="Bookman Old Style" w:eastAsia="Times New Roman" w:hAnsi="Bookman Old Style" w:cs="Arial"/>
          <w:i/>
          <w:sz w:val="28"/>
          <w:szCs w:val="28"/>
          <w:lang w:eastAsia="es-ES"/>
        </w:rPr>
        <w:t>nulidad absoluta</w:t>
      </w:r>
      <w:r w:rsidRPr="00C028BE">
        <w:rPr>
          <w:rFonts w:ascii="Bookman Old Style" w:eastAsia="Times New Roman" w:hAnsi="Bookman Old Style" w:cs="Arial"/>
          <w:sz w:val="28"/>
          <w:szCs w:val="28"/>
          <w:lang w:eastAsia="es-ES"/>
        </w:rPr>
        <w:t xml:space="preserve">”. </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r w:rsidRPr="00C028BE">
        <w:rPr>
          <w:rFonts w:ascii="Bookman Old Style" w:eastAsia="Times New Roman" w:hAnsi="Bookman Old Style" w:cs="Arial"/>
          <w:sz w:val="28"/>
          <w:szCs w:val="28"/>
          <w:lang w:eastAsia="es-ES"/>
        </w:rPr>
        <w:t>Como lo dijera la misma Corporación en auto de 2 de noviembre de 2011, radicación 2003-00428: “d</w:t>
      </w:r>
      <w:r w:rsidRPr="00C028BE">
        <w:rPr>
          <w:rFonts w:ascii="Bookman Old Style" w:eastAsia="Times New Roman" w:hAnsi="Bookman Old Style" w:cs="Arial"/>
          <w:i/>
          <w:sz w:val="28"/>
          <w:szCs w:val="28"/>
          <w:lang w:eastAsia="es-ES"/>
        </w:rPr>
        <w:t xml:space="preserve">e manera, pues, que en esas condiciones el reproche resulta desenfocado, en la medida en que no guarda una estricta y adecuada consonancia con lo esencial de la motivación que se pretende descalificar’ (auto de 18 de diciembre de 2009, exp. 6800131030012001-00389 01) o que‘resulta desenfocado, </w:t>
      </w:r>
      <w:r w:rsidRPr="00C028BE">
        <w:rPr>
          <w:rFonts w:ascii="Bookman Old Style" w:eastAsia="Times New Roman" w:hAnsi="Bookman Old Style" w:cs="Arial"/>
          <w:i/>
          <w:sz w:val="28"/>
          <w:szCs w:val="28"/>
          <w:lang w:eastAsia="es-ES"/>
        </w:rPr>
        <w:lastRenderedPageBreak/>
        <w:t xml:space="preserve">pues deja de lado la razón toral de la que se valió el ad quem para negar las pretensiones (…) Ignorado fue, entonces, el núcleo argumentativo del fallo impugnado, haciendo del cargo una embestida carente de precisión, pues apenas comprende algunas de las periferias del asunto, lo cual anticipa su ineficacia para propiciar el pronunciamiento de </w:t>
      </w:r>
      <w:smartTag w:uri="urn:schemas-microsoft-com:office:smarttags" w:element="PersonName">
        <w:smartTagPr>
          <w:attr w:name="ProductID" w:val="la Corte"/>
        </w:smartTagPr>
        <w:r w:rsidRPr="00C028BE">
          <w:rPr>
            <w:rFonts w:ascii="Bookman Old Style" w:eastAsia="Times New Roman" w:hAnsi="Bookman Old Style" w:cs="Arial"/>
            <w:i/>
            <w:sz w:val="28"/>
            <w:szCs w:val="28"/>
            <w:lang w:eastAsia="es-ES"/>
          </w:rPr>
          <w:t>la Corte</w:t>
        </w:r>
      </w:smartTag>
      <w:r w:rsidRPr="00C028BE">
        <w:rPr>
          <w:rFonts w:ascii="Bookman Old Style" w:eastAsia="Times New Roman" w:hAnsi="Bookman Old Style" w:cs="Arial"/>
          <w:i/>
          <w:sz w:val="28"/>
          <w:szCs w:val="28"/>
          <w:lang w:eastAsia="es-ES"/>
        </w:rPr>
        <w:t xml:space="preserve">”. </w:t>
      </w:r>
      <w:r w:rsidRPr="00C028BE">
        <w:rPr>
          <w:rFonts w:ascii="Bookman Old Style" w:eastAsia="Times New Roman" w:hAnsi="Bookman Old Style" w:cs="Arial"/>
          <w:sz w:val="28"/>
          <w:szCs w:val="28"/>
          <w:lang w:eastAsia="es-ES"/>
        </w:rPr>
        <w:t>(Auto de 30 de agosto de 2010, exp. 11001-31-03-005-1999-02099-01)”.</w:t>
      </w:r>
    </w:p>
    <w:p w:rsidR="00C028BE" w:rsidRPr="00C028BE" w:rsidRDefault="00C028BE" w:rsidP="00C028BE">
      <w:pPr>
        <w:autoSpaceDE w:val="0"/>
        <w:autoSpaceDN w:val="0"/>
        <w:spacing w:after="0" w:line="360" w:lineRule="auto"/>
        <w:ind w:firstLine="708"/>
        <w:jc w:val="both"/>
        <w:rPr>
          <w:rFonts w:ascii="Bookman Old Style" w:eastAsia="Times New Roman" w:hAnsi="Bookman Old Style" w:cs="Arial"/>
          <w:sz w:val="28"/>
          <w:szCs w:val="28"/>
          <w:lang w:eastAsia="es-ES"/>
        </w:rPr>
      </w:pPr>
    </w:p>
    <w:p w:rsidR="00C028BE" w:rsidRPr="00C028BE" w:rsidRDefault="00C028BE" w:rsidP="00C028BE">
      <w:pPr>
        <w:autoSpaceDE w:val="0"/>
        <w:autoSpaceDN w:val="0"/>
        <w:spacing w:after="0" w:line="360" w:lineRule="auto"/>
        <w:ind w:firstLine="708"/>
        <w:jc w:val="both"/>
        <w:rPr>
          <w:rFonts w:ascii="Bookman Old Style" w:eastAsia="Arial Unicode MS" w:hAnsi="Bookman Old Style" w:cs="Arial"/>
          <w:sz w:val="28"/>
          <w:szCs w:val="28"/>
          <w:u w:color="000000"/>
          <w:lang w:eastAsia="es-ES"/>
        </w:rPr>
      </w:pPr>
      <w:r w:rsidRPr="00C028BE">
        <w:rPr>
          <w:rFonts w:ascii="Bookman Old Style" w:eastAsia="Arial Unicode MS" w:hAnsi="Bookman Old Style" w:cs="Arial"/>
          <w:sz w:val="28"/>
          <w:szCs w:val="28"/>
          <w:u w:color="000000"/>
          <w:lang w:eastAsia="es-ES"/>
        </w:rPr>
        <w:t>Habida cuenta de las motivaciones condensadas, fracasa la acusación.</w:t>
      </w:r>
    </w:p>
    <w:p w:rsidR="00C028BE" w:rsidRPr="00C028BE" w:rsidRDefault="00C028BE" w:rsidP="00C028BE">
      <w:pPr>
        <w:autoSpaceDE w:val="0"/>
        <w:autoSpaceDN w:val="0"/>
        <w:spacing w:after="0" w:line="360" w:lineRule="auto"/>
        <w:ind w:firstLine="708"/>
        <w:jc w:val="both"/>
        <w:rPr>
          <w:rFonts w:ascii="Bookman Old Style" w:eastAsia="Arial Unicode MS" w:hAnsi="Bookman Old Style" w:cs="Arial"/>
          <w:sz w:val="28"/>
          <w:szCs w:val="28"/>
          <w:u w:color="000000"/>
          <w:lang w:eastAsia="es-ES"/>
        </w:rPr>
      </w:pPr>
    </w:p>
    <w:p w:rsidR="00C028BE" w:rsidRPr="00C028BE" w:rsidRDefault="00C028BE" w:rsidP="00C028BE">
      <w:pPr>
        <w:suppressAutoHyphens/>
        <w:spacing w:after="0" w:line="480" w:lineRule="exact"/>
        <w:jc w:val="center"/>
        <w:rPr>
          <w:rFonts w:ascii="Bookman Old Style" w:eastAsia="Times New Roman" w:hAnsi="Bookman Old Style" w:cs="Times New Roman"/>
          <w:b/>
          <w:bCs/>
          <w:sz w:val="28"/>
          <w:szCs w:val="28"/>
          <w:lang w:val="es-MX" w:eastAsia="es-ES"/>
        </w:rPr>
      </w:pPr>
      <w:r w:rsidRPr="00C028BE">
        <w:rPr>
          <w:rFonts w:ascii="Bookman Old Style" w:eastAsia="Times New Roman" w:hAnsi="Bookman Old Style" w:cs="Times New Roman"/>
          <w:b/>
          <w:bCs/>
          <w:sz w:val="28"/>
          <w:szCs w:val="28"/>
          <w:lang w:val="es-MX" w:eastAsia="es-ES"/>
        </w:rPr>
        <w:t>DECISIÓN</w:t>
      </w:r>
    </w:p>
    <w:p w:rsidR="00C028BE" w:rsidRPr="00C028BE" w:rsidRDefault="00C028BE" w:rsidP="00C028BE">
      <w:pPr>
        <w:suppressAutoHyphens/>
        <w:spacing w:after="0" w:line="480" w:lineRule="exact"/>
        <w:jc w:val="center"/>
        <w:rPr>
          <w:rFonts w:ascii="Bookman Old Style" w:eastAsia="Times New Roman" w:hAnsi="Bookman Old Style" w:cs="Times New Roman"/>
          <w:b/>
          <w:bCs/>
          <w:sz w:val="28"/>
          <w:szCs w:val="28"/>
          <w:lang w:val="es-MX" w:eastAsia="es-ES"/>
        </w:rPr>
      </w:pPr>
    </w:p>
    <w:p w:rsidR="00C028BE" w:rsidRPr="00C028BE" w:rsidRDefault="00C028BE" w:rsidP="00C028BE">
      <w:pPr>
        <w:suppressAutoHyphens/>
        <w:spacing w:after="0" w:line="480" w:lineRule="exact"/>
        <w:ind w:firstLine="708"/>
        <w:jc w:val="both"/>
        <w:rPr>
          <w:rFonts w:ascii="Bookman Old Style" w:eastAsia="Times New Roman" w:hAnsi="Bookman Old Style" w:cs="Times New Roman"/>
          <w:sz w:val="28"/>
          <w:szCs w:val="28"/>
          <w:lang w:val="es-MX" w:eastAsia="es-ES"/>
        </w:rPr>
      </w:pPr>
      <w:r w:rsidRPr="00C028BE">
        <w:rPr>
          <w:rFonts w:ascii="Bookman Old Style" w:eastAsia="Times New Roman" w:hAnsi="Bookman Old Style" w:cs="Times New Roman"/>
          <w:sz w:val="28"/>
          <w:szCs w:val="28"/>
          <w:lang w:val="es-MX" w:eastAsia="es-ES"/>
        </w:rPr>
        <w:t xml:space="preserve">En mérito de lo expuesto, </w:t>
      </w:r>
      <w:smartTag w:uri="urn:schemas-microsoft-com:office:smarttags" w:element="PersonName">
        <w:smartTagPr>
          <w:attr w:name="ProductID" w:val="la Corte Suprema"/>
        </w:smartTagPr>
        <w:r w:rsidRPr="00C028BE">
          <w:rPr>
            <w:rFonts w:ascii="Bookman Old Style" w:eastAsia="Times New Roman" w:hAnsi="Bookman Old Style" w:cs="Times New Roman"/>
            <w:sz w:val="28"/>
            <w:szCs w:val="28"/>
            <w:lang w:val="es-MX" w:eastAsia="es-ES"/>
          </w:rPr>
          <w:t>la Corte Suprema</w:t>
        </w:r>
      </w:smartTag>
      <w:r w:rsidRPr="00C028BE">
        <w:rPr>
          <w:rFonts w:ascii="Bookman Old Style" w:eastAsia="Times New Roman" w:hAnsi="Bookman Old Style" w:cs="Times New Roman"/>
          <w:sz w:val="28"/>
          <w:szCs w:val="28"/>
          <w:lang w:val="es-MX" w:eastAsia="es-ES"/>
        </w:rPr>
        <w:t xml:space="preserve"> de Justicia, Sala de Casación Civil, administrando justicia en nombre de </w:t>
      </w:r>
      <w:smartTag w:uri="urn:schemas-microsoft-com:office:smarttags" w:element="PersonName">
        <w:smartTagPr>
          <w:attr w:name="ProductID" w:val="la Rep￺blica"/>
        </w:smartTagPr>
        <w:r w:rsidRPr="00C028BE">
          <w:rPr>
            <w:rFonts w:ascii="Bookman Old Style" w:eastAsia="Times New Roman" w:hAnsi="Bookman Old Style" w:cs="Times New Roman"/>
            <w:sz w:val="28"/>
            <w:szCs w:val="28"/>
            <w:lang w:val="es-MX" w:eastAsia="es-ES"/>
          </w:rPr>
          <w:t>la República</w:t>
        </w:r>
      </w:smartTag>
      <w:r w:rsidRPr="00C028BE">
        <w:rPr>
          <w:rFonts w:ascii="Bookman Old Style" w:eastAsia="Times New Roman" w:hAnsi="Bookman Old Style" w:cs="Times New Roman"/>
          <w:sz w:val="28"/>
          <w:szCs w:val="28"/>
          <w:lang w:val="es-MX" w:eastAsia="es-ES"/>
        </w:rPr>
        <w:t xml:space="preserve"> y por autoridad de la ley</w:t>
      </w:r>
    </w:p>
    <w:p w:rsidR="00C028BE" w:rsidRPr="00C028BE" w:rsidRDefault="00C028BE" w:rsidP="00C028BE">
      <w:pPr>
        <w:suppressAutoHyphens/>
        <w:spacing w:after="0" w:line="480" w:lineRule="exact"/>
        <w:ind w:firstLine="1400"/>
        <w:jc w:val="both"/>
        <w:rPr>
          <w:rFonts w:ascii="Bookman Old Style" w:eastAsia="Times New Roman" w:hAnsi="Bookman Old Style" w:cs="Times New Roman"/>
          <w:sz w:val="28"/>
          <w:szCs w:val="28"/>
          <w:lang w:val="es-MX" w:eastAsia="es-ES"/>
        </w:rPr>
      </w:pPr>
    </w:p>
    <w:p w:rsidR="00C028BE" w:rsidRDefault="00C028BE" w:rsidP="00C028BE">
      <w:pPr>
        <w:suppressAutoHyphens/>
        <w:spacing w:after="0" w:line="480" w:lineRule="exact"/>
        <w:jc w:val="center"/>
        <w:rPr>
          <w:rFonts w:ascii="Bookman Old Style" w:eastAsia="Times New Roman" w:hAnsi="Bookman Old Style" w:cs="Times New Roman"/>
          <w:b/>
          <w:bCs/>
          <w:sz w:val="28"/>
          <w:szCs w:val="28"/>
          <w:lang w:val="es-MX" w:eastAsia="es-ES"/>
        </w:rPr>
      </w:pPr>
      <w:r w:rsidRPr="00C028BE">
        <w:rPr>
          <w:rFonts w:ascii="Bookman Old Style" w:eastAsia="Times New Roman" w:hAnsi="Bookman Old Style" w:cs="Times New Roman"/>
          <w:b/>
          <w:bCs/>
          <w:sz w:val="28"/>
          <w:szCs w:val="28"/>
          <w:lang w:val="es-MX" w:eastAsia="es-ES"/>
        </w:rPr>
        <w:t>RESUELVE</w:t>
      </w:r>
    </w:p>
    <w:p w:rsidR="00290C75" w:rsidRPr="00C028BE" w:rsidRDefault="00290C75" w:rsidP="00C028BE">
      <w:pPr>
        <w:suppressAutoHyphens/>
        <w:spacing w:after="0" w:line="480" w:lineRule="exact"/>
        <w:jc w:val="center"/>
        <w:rPr>
          <w:rFonts w:ascii="Bookman Old Style" w:eastAsia="Times New Roman" w:hAnsi="Bookman Old Style" w:cs="Times New Roman"/>
          <w:b/>
          <w:bCs/>
          <w:sz w:val="28"/>
          <w:szCs w:val="28"/>
          <w:lang w:val="es-MX" w:eastAsia="es-ES"/>
        </w:rPr>
      </w:pPr>
    </w:p>
    <w:p w:rsidR="00C028BE" w:rsidRPr="00C028BE" w:rsidRDefault="00C028BE" w:rsidP="00C028BE">
      <w:pPr>
        <w:autoSpaceDE w:val="0"/>
        <w:autoSpaceDN w:val="0"/>
        <w:spacing w:after="0" w:line="360" w:lineRule="auto"/>
        <w:ind w:firstLine="708"/>
        <w:jc w:val="both"/>
        <w:outlineLvl w:val="0"/>
        <w:rPr>
          <w:rFonts w:ascii="Bookman Old Style" w:eastAsia="Times New Roman" w:hAnsi="Bookman Old Style" w:cs="Arial"/>
          <w:sz w:val="28"/>
          <w:szCs w:val="28"/>
          <w:lang w:eastAsia="es-ES"/>
        </w:rPr>
      </w:pPr>
      <w:r w:rsidRPr="00C028BE">
        <w:rPr>
          <w:rFonts w:ascii="Bookman Old Style" w:eastAsia="Times New Roman" w:hAnsi="Bookman Old Style" w:cs="Arial"/>
          <w:b/>
          <w:sz w:val="28"/>
          <w:szCs w:val="28"/>
          <w:lang w:eastAsia="es-ES"/>
        </w:rPr>
        <w:t xml:space="preserve">Primero.-   </w:t>
      </w:r>
      <w:r w:rsidRPr="00C028BE">
        <w:rPr>
          <w:rFonts w:ascii="Bookman Old Style" w:eastAsia="Times New Roman" w:hAnsi="Bookman Old Style" w:cs="Arial"/>
          <w:b/>
          <w:bCs/>
          <w:sz w:val="28"/>
          <w:szCs w:val="28"/>
          <w:lang w:eastAsia="es-ES"/>
        </w:rPr>
        <w:t xml:space="preserve">NO CASA </w:t>
      </w:r>
      <w:r w:rsidRPr="00C028BE">
        <w:rPr>
          <w:rFonts w:ascii="Bookman Old Style" w:eastAsia="Times New Roman" w:hAnsi="Bookman Old Style" w:cs="Arial"/>
          <w:sz w:val="28"/>
          <w:szCs w:val="28"/>
          <w:lang w:eastAsia="es-ES"/>
        </w:rPr>
        <w:t>la sentencia proferida el 9 de noviembre de 2012 por la Sala Civil del Tribunal Superior de Bogotá, dentro del proceso ordinario identificado en el encabezamiento de esta providencia.</w:t>
      </w:r>
    </w:p>
    <w:p w:rsidR="00C028BE" w:rsidRDefault="00C028BE" w:rsidP="00C028BE">
      <w:pPr>
        <w:autoSpaceDE w:val="0"/>
        <w:autoSpaceDN w:val="0"/>
        <w:spacing w:after="0" w:line="360" w:lineRule="auto"/>
        <w:ind w:firstLine="708"/>
        <w:jc w:val="both"/>
        <w:outlineLvl w:val="0"/>
        <w:rPr>
          <w:rFonts w:ascii="Bookman Old Style" w:eastAsia="Times New Roman" w:hAnsi="Bookman Old Style" w:cs="Arial"/>
          <w:sz w:val="28"/>
          <w:szCs w:val="28"/>
          <w:lang w:eastAsia="es-ES"/>
        </w:rPr>
      </w:pPr>
      <w:r w:rsidRPr="00C028BE">
        <w:rPr>
          <w:rFonts w:ascii="Bookman Old Style" w:eastAsia="Times New Roman" w:hAnsi="Bookman Old Style" w:cs="Arial"/>
          <w:b/>
          <w:bCs/>
          <w:sz w:val="28"/>
          <w:szCs w:val="28"/>
          <w:lang w:eastAsia="es-ES"/>
        </w:rPr>
        <w:tab/>
        <w:t>Segundo.- CONDENAR</w:t>
      </w:r>
      <w:r w:rsidRPr="00C028BE">
        <w:rPr>
          <w:rFonts w:ascii="Bookman Old Style" w:eastAsia="Times New Roman" w:hAnsi="Bookman Old Style" w:cs="Arial"/>
          <w:sz w:val="28"/>
          <w:szCs w:val="28"/>
          <w:lang w:eastAsia="es-ES"/>
        </w:rPr>
        <w:t xml:space="preserve"> en costas del recurso de casación al recurrente. Por concepto de agencias en derecho inclúyase la suma de seis millones de pesos ($6.000.000.oo)  M/cte., por haber sido objeto de réplica. </w:t>
      </w:r>
    </w:p>
    <w:p w:rsidR="00290C75" w:rsidRPr="00C028BE" w:rsidRDefault="00290C75" w:rsidP="00C028BE">
      <w:pPr>
        <w:autoSpaceDE w:val="0"/>
        <w:autoSpaceDN w:val="0"/>
        <w:spacing w:after="0" w:line="360" w:lineRule="auto"/>
        <w:ind w:firstLine="708"/>
        <w:jc w:val="both"/>
        <w:outlineLvl w:val="0"/>
        <w:rPr>
          <w:rFonts w:ascii="Bookman Old Style" w:eastAsia="Times New Roman" w:hAnsi="Bookman Old Style" w:cs="Arial"/>
          <w:sz w:val="28"/>
          <w:szCs w:val="28"/>
          <w:lang w:eastAsia="es-ES"/>
        </w:rPr>
      </w:pPr>
    </w:p>
    <w:p w:rsidR="00C028BE" w:rsidRDefault="00C028BE" w:rsidP="00C028BE">
      <w:pPr>
        <w:autoSpaceDE w:val="0"/>
        <w:autoSpaceDN w:val="0"/>
        <w:spacing w:after="120" w:line="240" w:lineRule="auto"/>
        <w:jc w:val="center"/>
        <w:rPr>
          <w:rFonts w:ascii="Bookman Old Style" w:eastAsia="Times New Roman" w:hAnsi="Bookman Old Style" w:cs="Arial"/>
          <w:b/>
          <w:bCs/>
          <w:sz w:val="28"/>
          <w:szCs w:val="28"/>
          <w:lang w:eastAsia="es-ES"/>
        </w:rPr>
      </w:pPr>
      <w:r w:rsidRPr="00C028BE">
        <w:rPr>
          <w:rFonts w:ascii="Bookman Old Style" w:eastAsia="Times New Roman" w:hAnsi="Bookman Old Style" w:cs="Arial"/>
          <w:b/>
          <w:bCs/>
          <w:sz w:val="28"/>
          <w:szCs w:val="28"/>
          <w:lang w:eastAsia="es-ES"/>
        </w:rPr>
        <w:t>NOTIFÍQUESE</w:t>
      </w:r>
    </w:p>
    <w:p w:rsidR="00290C75" w:rsidRPr="00C028BE" w:rsidRDefault="00290C75" w:rsidP="00C028BE">
      <w:pPr>
        <w:autoSpaceDE w:val="0"/>
        <w:autoSpaceDN w:val="0"/>
        <w:spacing w:after="120" w:line="240" w:lineRule="auto"/>
        <w:jc w:val="center"/>
        <w:rPr>
          <w:rFonts w:ascii="Bookman Old Style" w:eastAsia="Times New Roman" w:hAnsi="Bookman Old Style" w:cs="Arial"/>
          <w:b/>
          <w:bCs/>
          <w:sz w:val="28"/>
          <w:szCs w:val="28"/>
          <w:lang w:eastAsia="es-ES"/>
        </w:rPr>
      </w:pPr>
    </w:p>
    <w:p w:rsidR="00C028BE" w:rsidRDefault="00C028BE" w:rsidP="00C028BE">
      <w:pPr>
        <w:autoSpaceDE w:val="0"/>
        <w:autoSpaceDN w:val="0"/>
        <w:spacing w:after="120" w:line="240" w:lineRule="auto"/>
        <w:jc w:val="center"/>
        <w:rPr>
          <w:rFonts w:ascii="Bookman Old Style" w:eastAsia="Times New Roman" w:hAnsi="Bookman Old Style" w:cs="Arial"/>
          <w:bCs/>
          <w:sz w:val="28"/>
          <w:szCs w:val="28"/>
          <w:lang w:val="es-ES_tradnl"/>
        </w:rPr>
      </w:pPr>
      <w:r w:rsidRPr="00C028BE">
        <w:rPr>
          <w:rFonts w:ascii="Bookman Old Style" w:eastAsia="Times New Roman" w:hAnsi="Bookman Old Style" w:cs="Arial"/>
          <w:bCs/>
          <w:sz w:val="28"/>
          <w:szCs w:val="28"/>
          <w:lang w:val="es-ES_tradnl"/>
        </w:rPr>
        <w:t xml:space="preserve">LUIS ARMANDO TOLOSA VILLABONA </w:t>
      </w:r>
    </w:p>
    <w:p w:rsidR="00290C75" w:rsidRPr="00C028BE" w:rsidRDefault="00290C75" w:rsidP="00C028BE">
      <w:pPr>
        <w:autoSpaceDE w:val="0"/>
        <w:autoSpaceDN w:val="0"/>
        <w:spacing w:after="120" w:line="240" w:lineRule="auto"/>
        <w:jc w:val="center"/>
        <w:rPr>
          <w:rFonts w:ascii="Bookman Old Style" w:eastAsia="Times New Roman" w:hAnsi="Bookman Old Style" w:cs="Arial"/>
          <w:bCs/>
          <w:sz w:val="28"/>
          <w:szCs w:val="28"/>
          <w:lang w:val="es-ES_tradnl"/>
        </w:rPr>
      </w:pPr>
    </w:p>
    <w:p w:rsidR="00C028BE" w:rsidRDefault="00C028BE" w:rsidP="00C028BE">
      <w:pPr>
        <w:spacing w:after="0" w:line="360" w:lineRule="auto"/>
        <w:jc w:val="center"/>
        <w:rPr>
          <w:rFonts w:ascii="Bookman Old Style" w:eastAsia="Times New Roman" w:hAnsi="Bookman Old Style" w:cs="Arial"/>
          <w:bCs/>
          <w:sz w:val="28"/>
          <w:szCs w:val="28"/>
          <w:lang w:val="es-ES_tradnl"/>
        </w:rPr>
      </w:pPr>
      <w:r w:rsidRPr="00C028BE">
        <w:rPr>
          <w:rFonts w:ascii="Bookman Old Style" w:eastAsia="Times New Roman" w:hAnsi="Bookman Old Style" w:cs="Arial"/>
          <w:bCs/>
          <w:sz w:val="28"/>
          <w:szCs w:val="28"/>
          <w:lang w:val="es-ES_tradnl"/>
        </w:rPr>
        <w:t>MARGARITA CABELLO BLANCO</w:t>
      </w:r>
    </w:p>
    <w:p w:rsidR="00290C75" w:rsidRPr="00C028BE" w:rsidRDefault="00290C75" w:rsidP="00C028BE">
      <w:pPr>
        <w:spacing w:after="0" w:line="360" w:lineRule="auto"/>
        <w:jc w:val="center"/>
        <w:rPr>
          <w:rFonts w:ascii="Bookman Old Style" w:eastAsia="Times New Roman" w:hAnsi="Bookman Old Style" w:cs="Arial"/>
          <w:bCs/>
          <w:sz w:val="28"/>
          <w:szCs w:val="28"/>
          <w:lang w:val="es-ES_tradnl"/>
        </w:rPr>
      </w:pPr>
    </w:p>
    <w:p w:rsidR="00C028BE" w:rsidRPr="00C028BE" w:rsidRDefault="00C028BE" w:rsidP="00C028BE">
      <w:pPr>
        <w:spacing w:after="0" w:line="240" w:lineRule="auto"/>
        <w:jc w:val="center"/>
        <w:rPr>
          <w:rFonts w:ascii="Bookman Old Style" w:eastAsia="Times New Roman" w:hAnsi="Bookman Old Style" w:cs="Arial"/>
          <w:bCs/>
          <w:sz w:val="28"/>
          <w:szCs w:val="28"/>
          <w:lang w:val="es-ES_tradnl"/>
        </w:rPr>
      </w:pPr>
      <w:r w:rsidRPr="00C028BE">
        <w:rPr>
          <w:rFonts w:ascii="Bookman Old Style" w:eastAsia="Times New Roman" w:hAnsi="Bookman Old Style" w:cs="Arial"/>
          <w:bCs/>
          <w:sz w:val="28"/>
          <w:szCs w:val="28"/>
          <w:lang w:val="es-ES_tradnl"/>
        </w:rPr>
        <w:t>ALVARO FERNANDO GARCÍA RESTREPO</w:t>
      </w:r>
    </w:p>
    <w:p w:rsidR="00C028BE" w:rsidRDefault="00C028BE" w:rsidP="00C028BE">
      <w:pPr>
        <w:spacing w:after="0" w:line="240" w:lineRule="auto"/>
        <w:jc w:val="center"/>
        <w:rPr>
          <w:rFonts w:ascii="Bookman Old Style" w:eastAsia="Times New Roman" w:hAnsi="Bookman Old Style" w:cs="Arial"/>
          <w:bCs/>
          <w:sz w:val="28"/>
          <w:szCs w:val="28"/>
          <w:lang w:val="es-ES_tradnl"/>
        </w:rPr>
      </w:pPr>
      <w:r w:rsidRPr="00C028BE">
        <w:rPr>
          <w:rFonts w:ascii="Bookman Old Style" w:eastAsia="Times New Roman" w:hAnsi="Bookman Old Style" w:cs="Arial"/>
          <w:bCs/>
          <w:sz w:val="28"/>
          <w:szCs w:val="28"/>
          <w:lang w:val="es-ES_tradnl"/>
        </w:rPr>
        <w:t>(Magistrado Impedido)</w:t>
      </w:r>
    </w:p>
    <w:p w:rsidR="00290C75" w:rsidRPr="00C028BE" w:rsidRDefault="00290C75" w:rsidP="00C028BE">
      <w:pPr>
        <w:spacing w:after="0" w:line="240" w:lineRule="auto"/>
        <w:jc w:val="center"/>
        <w:rPr>
          <w:rFonts w:ascii="Bookman Old Style" w:eastAsia="Times New Roman" w:hAnsi="Bookman Old Style" w:cs="Arial"/>
          <w:bCs/>
          <w:sz w:val="28"/>
          <w:szCs w:val="28"/>
          <w:lang w:val="es-ES_tradnl"/>
        </w:rPr>
      </w:pPr>
    </w:p>
    <w:p w:rsidR="00C028BE" w:rsidRDefault="00C028BE" w:rsidP="00C028BE">
      <w:pPr>
        <w:spacing w:after="0" w:line="360" w:lineRule="auto"/>
        <w:jc w:val="center"/>
        <w:rPr>
          <w:rFonts w:ascii="Bookman Old Style" w:eastAsia="Times New Roman" w:hAnsi="Bookman Old Style" w:cs="Arial"/>
          <w:bCs/>
          <w:sz w:val="28"/>
          <w:szCs w:val="28"/>
        </w:rPr>
      </w:pPr>
      <w:r w:rsidRPr="00C028BE">
        <w:rPr>
          <w:rFonts w:ascii="Bookman Old Style" w:eastAsia="Times New Roman" w:hAnsi="Bookman Old Style" w:cs="Arial"/>
          <w:bCs/>
          <w:sz w:val="28"/>
          <w:szCs w:val="28"/>
        </w:rPr>
        <w:t xml:space="preserve">FERNANDO GIRALDO GUTIÉRREZ  </w:t>
      </w:r>
    </w:p>
    <w:p w:rsidR="00290C75" w:rsidRPr="00C028BE" w:rsidRDefault="00290C75" w:rsidP="00C028BE">
      <w:pPr>
        <w:spacing w:after="0" w:line="360" w:lineRule="auto"/>
        <w:jc w:val="center"/>
        <w:rPr>
          <w:rFonts w:ascii="Bookman Old Style" w:eastAsia="Times New Roman" w:hAnsi="Bookman Old Style" w:cs="Arial"/>
          <w:bCs/>
          <w:sz w:val="28"/>
          <w:szCs w:val="28"/>
        </w:rPr>
      </w:pPr>
    </w:p>
    <w:p w:rsidR="00C028BE" w:rsidRPr="00C028BE" w:rsidRDefault="00C028BE" w:rsidP="00C028BE">
      <w:pPr>
        <w:spacing w:after="0" w:line="360" w:lineRule="auto"/>
        <w:jc w:val="center"/>
        <w:rPr>
          <w:rFonts w:ascii="Bookman Old Style" w:eastAsia="Times New Roman" w:hAnsi="Bookman Old Style" w:cs="Arial"/>
          <w:sz w:val="28"/>
          <w:szCs w:val="28"/>
        </w:rPr>
      </w:pPr>
      <w:r w:rsidRPr="00C028BE">
        <w:rPr>
          <w:rFonts w:ascii="Bookman Old Style" w:eastAsia="Times New Roman" w:hAnsi="Bookman Old Style" w:cs="Arial"/>
          <w:sz w:val="28"/>
          <w:szCs w:val="28"/>
        </w:rPr>
        <w:t>ARIEL SALAZAR RAMÍREZ</w:t>
      </w:r>
    </w:p>
    <w:p w:rsidR="00C028BE" w:rsidRPr="00C028BE" w:rsidRDefault="00C028BE" w:rsidP="00C028BE"/>
    <w:p w:rsidR="00701FF0" w:rsidRDefault="00701FF0"/>
    <w:sectPr w:rsidR="00701FF0" w:rsidSect="00C028BE">
      <w:headerReference w:type="default" r:id="rId8"/>
      <w:footerReference w:type="default" r:id="rId9"/>
      <w:headerReference w:type="first" r:id="rId10"/>
      <w:pgSz w:w="12242" w:h="18722" w:code="14"/>
      <w:pgMar w:top="2211" w:right="1644" w:bottom="1644" w:left="2211" w:header="851" w:footer="964" w:gutter="0"/>
      <w:cols w:space="709"/>
      <w:vAlign w:val="both"/>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7C0" w:rsidRDefault="008367C0" w:rsidP="00C028BE">
      <w:pPr>
        <w:spacing w:after="0" w:line="240" w:lineRule="auto"/>
      </w:pPr>
      <w:r>
        <w:separator/>
      </w:r>
    </w:p>
  </w:endnote>
  <w:endnote w:type="continuationSeparator" w:id="0">
    <w:p w:rsidR="008367C0" w:rsidRDefault="008367C0" w:rsidP="00C0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BE" w:rsidRDefault="00C028BE">
    <w:pPr>
      <w:pStyle w:val="Piedepgina"/>
      <w:framePr w:wrap="auto" w:vAnchor="text" w:hAnchor="margin" w:xAlign="right" w:y="1"/>
      <w:rPr>
        <w:rStyle w:val="Nmerodepgina"/>
        <w:i/>
        <w:iCs/>
      </w:rPr>
    </w:pPr>
    <w:r>
      <w:rPr>
        <w:rStyle w:val="Nmerodepgina"/>
        <w:i/>
        <w:iCs/>
      </w:rPr>
      <w:fldChar w:fldCharType="begin"/>
    </w:r>
    <w:r>
      <w:rPr>
        <w:rStyle w:val="Nmerodepgina"/>
        <w:i/>
        <w:iCs/>
      </w:rPr>
      <w:instrText xml:space="preserve">PAGE  </w:instrText>
    </w:r>
    <w:r>
      <w:rPr>
        <w:rStyle w:val="Nmerodepgina"/>
        <w:i/>
        <w:iCs/>
      </w:rPr>
      <w:fldChar w:fldCharType="separate"/>
    </w:r>
    <w:r w:rsidR="00D02C61">
      <w:rPr>
        <w:rStyle w:val="Nmerodepgina"/>
        <w:i/>
        <w:iCs/>
        <w:noProof/>
      </w:rPr>
      <w:t>2</w:t>
    </w:r>
    <w:r>
      <w:rPr>
        <w:rStyle w:val="Nmerodepgina"/>
        <w:i/>
        <w:iCs/>
      </w:rPr>
      <w:fldChar w:fldCharType="end"/>
    </w:r>
  </w:p>
  <w:p w:rsidR="00C028BE" w:rsidRPr="00A62DD1" w:rsidRDefault="00C028BE" w:rsidP="00C028BE">
    <w:pPr>
      <w:pStyle w:val="Piedepgina"/>
      <w:ind w:right="360"/>
      <w:rPr>
        <w:rFonts w:ascii="Arial" w:hAnsi="Arial" w:cs="Arial"/>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7C0" w:rsidRDefault="008367C0" w:rsidP="00C028BE">
      <w:pPr>
        <w:spacing w:after="0" w:line="240" w:lineRule="auto"/>
      </w:pPr>
      <w:r>
        <w:separator/>
      </w:r>
    </w:p>
  </w:footnote>
  <w:footnote w:type="continuationSeparator" w:id="0">
    <w:p w:rsidR="008367C0" w:rsidRDefault="008367C0" w:rsidP="00C028BE">
      <w:pPr>
        <w:spacing w:after="0" w:line="240" w:lineRule="auto"/>
      </w:pPr>
      <w:r>
        <w:continuationSeparator/>
      </w:r>
    </w:p>
  </w:footnote>
  <w:footnote w:id="1">
    <w:p w:rsidR="00C028BE" w:rsidRPr="00075A6A" w:rsidRDefault="00C028BE" w:rsidP="00C028BE">
      <w:pPr>
        <w:pStyle w:val="Textonotapie"/>
        <w:jc w:val="both"/>
        <w:rPr>
          <w:rFonts w:ascii="Arial" w:hAnsi="Arial" w:cs="Arial"/>
          <w:sz w:val="22"/>
          <w:szCs w:val="22"/>
          <w:lang w:val="es-CO"/>
        </w:rPr>
      </w:pPr>
      <w:r w:rsidRPr="00075A6A">
        <w:rPr>
          <w:rStyle w:val="Refdenotaalpie"/>
          <w:rFonts w:ascii="Arial" w:hAnsi="Arial" w:cs="Arial"/>
          <w:sz w:val="22"/>
          <w:szCs w:val="22"/>
        </w:rPr>
        <w:footnoteRef/>
      </w:r>
      <w:r w:rsidRPr="00075A6A">
        <w:rPr>
          <w:rFonts w:ascii="Arial" w:hAnsi="Arial" w:cs="Arial"/>
          <w:sz w:val="22"/>
          <w:szCs w:val="22"/>
          <w:lang w:val="es-CO"/>
        </w:rPr>
        <w:t>CSJ SC Sentencia Enero 31 de 1995, radicación n. 4293.</w:t>
      </w:r>
    </w:p>
  </w:footnote>
  <w:footnote w:id="2">
    <w:p w:rsidR="00C028BE" w:rsidRPr="003B655B" w:rsidRDefault="00C028BE" w:rsidP="00C028BE">
      <w:pPr>
        <w:pStyle w:val="Textonotapie"/>
        <w:jc w:val="both"/>
        <w:rPr>
          <w:rFonts w:ascii="Arial" w:hAnsi="Arial" w:cs="Arial"/>
          <w:sz w:val="22"/>
          <w:szCs w:val="22"/>
          <w:lang w:val="es-CO"/>
        </w:rPr>
      </w:pPr>
      <w:r w:rsidRPr="003B655B">
        <w:rPr>
          <w:rStyle w:val="Refdenotaalpie"/>
          <w:rFonts w:ascii="Arial" w:hAnsi="Arial" w:cs="Arial"/>
          <w:sz w:val="22"/>
          <w:szCs w:val="22"/>
        </w:rPr>
        <w:footnoteRef/>
      </w:r>
      <w:r w:rsidRPr="003B655B">
        <w:rPr>
          <w:rFonts w:ascii="Arial" w:hAnsi="Arial" w:cs="Arial"/>
          <w:sz w:val="22"/>
          <w:szCs w:val="22"/>
          <w:lang w:val="es-CO"/>
        </w:rPr>
        <w:t>CSJ SC Noviembre 31 de 1998 radicación n. 4826</w:t>
      </w:r>
    </w:p>
  </w:footnote>
  <w:footnote w:id="3">
    <w:p w:rsidR="00C028BE" w:rsidRPr="00DB3E39" w:rsidRDefault="00C028BE" w:rsidP="00C028BE">
      <w:pPr>
        <w:pStyle w:val="Textonotapie"/>
        <w:jc w:val="both"/>
        <w:rPr>
          <w:rFonts w:ascii="Arial" w:hAnsi="Arial" w:cs="Arial"/>
          <w:sz w:val="22"/>
          <w:szCs w:val="22"/>
          <w:lang w:val="es-CO"/>
        </w:rPr>
      </w:pPr>
      <w:r w:rsidRPr="00DB3E39">
        <w:rPr>
          <w:rStyle w:val="Refdenotaalpie"/>
          <w:rFonts w:ascii="Arial" w:hAnsi="Arial" w:cs="Arial"/>
          <w:sz w:val="22"/>
          <w:szCs w:val="22"/>
        </w:rPr>
        <w:footnoteRef/>
      </w:r>
      <w:r w:rsidRPr="00DB3E39">
        <w:rPr>
          <w:rFonts w:ascii="Arial" w:hAnsi="Arial" w:cs="Arial"/>
          <w:sz w:val="22"/>
          <w:szCs w:val="22"/>
          <w:lang w:val="es-CO"/>
        </w:rPr>
        <w:t>Artículo 35 del Decreto 2163 de 1970.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BE" w:rsidRDefault="00C028BE" w:rsidP="00C028BE">
    <w:pPr>
      <w:spacing w:line="360" w:lineRule="auto"/>
      <w:ind w:firstLine="708"/>
      <w:jc w:val="right"/>
      <w:outlineLvl w:val="0"/>
      <w:rPr>
        <w:rFonts w:ascii="Bookman Old Style" w:hAnsi="Bookman Old Style" w:cs="Arial"/>
        <w:bCs/>
      </w:rPr>
    </w:pPr>
  </w:p>
  <w:p w:rsidR="00C028BE" w:rsidRPr="00664129" w:rsidRDefault="00C028BE" w:rsidP="00C028BE">
    <w:pPr>
      <w:pStyle w:val="Ttulo2"/>
      <w:ind w:left="708" w:firstLine="708"/>
      <w:jc w:val="both"/>
      <w:rPr>
        <w:rFonts w:ascii="Arial" w:hAnsi="Arial" w:cs="Arial"/>
        <w:b/>
        <w:i/>
        <w:color w:val="auto"/>
        <w:sz w:val="24"/>
        <w:szCs w:val="24"/>
      </w:rPr>
    </w:pPr>
    <w:r w:rsidRPr="00664129">
      <w:rPr>
        <w:rFonts w:ascii="Arial" w:hAnsi="Arial" w:cs="Arial"/>
        <w:b/>
        <w:i/>
        <w:color w:val="auto"/>
        <w:sz w:val="24"/>
        <w:szCs w:val="24"/>
      </w:rPr>
      <w:t>Radicación n° 11001 31 03 004 211 00125 01</w:t>
    </w:r>
  </w:p>
  <w:p w:rsidR="00C028BE" w:rsidRDefault="00C028BE">
    <w:pPr>
      <w:pStyle w:val="Encabezado"/>
    </w:pPr>
  </w:p>
  <w:p w:rsidR="00C028BE" w:rsidRDefault="00C028BE">
    <w:pPr>
      <w:pStyle w:val="Encabezado"/>
    </w:pPr>
  </w:p>
  <w:p w:rsidR="00C028BE" w:rsidRDefault="00C028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BE" w:rsidRPr="00664129" w:rsidRDefault="00C028BE" w:rsidP="00C028BE">
    <w:pPr>
      <w:pStyle w:val="Ttulo2"/>
      <w:ind w:left="2124" w:firstLine="708"/>
      <w:rPr>
        <w:rFonts w:ascii="Arial" w:hAnsi="Arial" w:cs="Arial"/>
        <w:b/>
        <w:bCs/>
        <w:i/>
        <w:color w:val="auto"/>
        <w:sz w:val="24"/>
        <w:szCs w:val="24"/>
      </w:rPr>
    </w:pPr>
    <w:r w:rsidRPr="00664129">
      <w:rPr>
        <w:rFonts w:ascii="Monotype Corsiva" w:hAnsi="Monotype Corsiva" w:cs="Arial"/>
        <w:b/>
        <w:i/>
        <w:color w:val="auto"/>
        <w:sz w:val="24"/>
        <w:szCs w:val="24"/>
      </w:rPr>
      <w:t xml:space="preserve">       República de Colombia</w:t>
    </w:r>
  </w:p>
  <w:p w:rsidR="00C028BE" w:rsidRPr="00664129" w:rsidRDefault="00C028BE" w:rsidP="00C028BE">
    <w:pPr>
      <w:jc w:val="center"/>
      <w:rPr>
        <w:b/>
        <w:i/>
        <w:sz w:val="24"/>
        <w:szCs w:val="24"/>
      </w:rPr>
    </w:pPr>
    <w:r w:rsidRPr="00664129">
      <w:rPr>
        <w:b/>
        <w:i/>
        <w:noProof/>
        <w:sz w:val="24"/>
        <w:szCs w:val="24"/>
        <w:lang w:val="es-CO" w:eastAsia="es-CO"/>
      </w:rPr>
      <w:drawing>
        <wp:inline distT="0" distB="0" distL="0" distR="0" wp14:anchorId="17AEDF0A" wp14:editId="2AAF4399">
          <wp:extent cx="714375" cy="4857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p>
  <w:p w:rsidR="00C028BE" w:rsidRPr="00664129" w:rsidRDefault="00C028BE" w:rsidP="00C028BE">
    <w:pPr>
      <w:ind w:left="2124" w:firstLine="708"/>
      <w:rPr>
        <w:rFonts w:ascii="Arial" w:hAnsi="Arial" w:cs="Arial"/>
        <w:b/>
        <w:bCs/>
        <w:i/>
        <w:sz w:val="24"/>
      </w:rPr>
    </w:pPr>
    <w:r w:rsidRPr="00664129">
      <w:rPr>
        <w:rFonts w:ascii="Monotype Corsiva" w:hAnsi="Monotype Corsiva" w:cs="Arial"/>
        <w:b/>
        <w:i/>
        <w:sz w:val="24"/>
      </w:rPr>
      <w:t xml:space="preserve">     Corte Suprema de Justicia</w:t>
    </w:r>
  </w:p>
  <w:p w:rsidR="00C028BE" w:rsidRDefault="00C028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62AB6"/>
    <w:multiLevelType w:val="hybridMultilevel"/>
    <w:tmpl w:val="E0407D00"/>
    <w:lvl w:ilvl="0" w:tplc="BD120BB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47427BAC"/>
    <w:multiLevelType w:val="hybridMultilevel"/>
    <w:tmpl w:val="E708B8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2A34E55"/>
    <w:multiLevelType w:val="hybridMultilevel"/>
    <w:tmpl w:val="0810BC1C"/>
    <w:lvl w:ilvl="0" w:tplc="780A88D0">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68427ABF"/>
    <w:multiLevelType w:val="hybridMultilevel"/>
    <w:tmpl w:val="4EFC7462"/>
    <w:lvl w:ilvl="0" w:tplc="3512519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6F2A00AC"/>
    <w:multiLevelType w:val="hybridMultilevel"/>
    <w:tmpl w:val="1E480146"/>
    <w:lvl w:ilvl="0" w:tplc="FD64AA4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73EE3FDA"/>
    <w:multiLevelType w:val="hybridMultilevel"/>
    <w:tmpl w:val="9E9E7914"/>
    <w:lvl w:ilvl="0" w:tplc="964A0F42">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BE"/>
    <w:rsid w:val="00095FD4"/>
    <w:rsid w:val="00120EB6"/>
    <w:rsid w:val="00122585"/>
    <w:rsid w:val="00232B6A"/>
    <w:rsid w:val="00290C75"/>
    <w:rsid w:val="00313BF9"/>
    <w:rsid w:val="003218F7"/>
    <w:rsid w:val="003A2F68"/>
    <w:rsid w:val="003E5BBA"/>
    <w:rsid w:val="00433F6C"/>
    <w:rsid w:val="005C7870"/>
    <w:rsid w:val="00701FF0"/>
    <w:rsid w:val="007F3DFF"/>
    <w:rsid w:val="008367C0"/>
    <w:rsid w:val="009F6866"/>
    <w:rsid w:val="00AB179F"/>
    <w:rsid w:val="00C028BE"/>
    <w:rsid w:val="00D02C61"/>
    <w:rsid w:val="00D24025"/>
    <w:rsid w:val="00F05E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4F5F31A-9908-489A-AC27-7C9077FC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C028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028BE"/>
    <w:rPr>
      <w:rFonts w:asciiTheme="majorHAnsi" w:eastAsiaTheme="majorEastAsia" w:hAnsiTheme="majorHAnsi" w:cstheme="majorBidi"/>
      <w:color w:val="2E74B5" w:themeColor="accent1" w:themeShade="BF"/>
      <w:sz w:val="26"/>
      <w:szCs w:val="26"/>
    </w:rPr>
  </w:style>
  <w:style w:type="paragraph" w:styleId="Piedepgina">
    <w:name w:val="footer"/>
    <w:basedOn w:val="Normal"/>
    <w:link w:val="PiedepginaCar"/>
    <w:uiPriority w:val="99"/>
    <w:unhideWhenUsed/>
    <w:rsid w:val="00C028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28BE"/>
  </w:style>
  <w:style w:type="character" w:styleId="Nmerodepgina">
    <w:name w:val="page number"/>
    <w:basedOn w:val="Fuentedeprrafopredeter"/>
    <w:rsid w:val="00C028BE"/>
  </w:style>
  <w:style w:type="paragraph" w:styleId="Encabezado">
    <w:name w:val="header"/>
    <w:basedOn w:val="Normal"/>
    <w:link w:val="EncabezadoCar"/>
    <w:rsid w:val="00C028BE"/>
    <w:pPr>
      <w:tabs>
        <w:tab w:val="center" w:pos="4252"/>
        <w:tab w:val="right" w:pos="8504"/>
      </w:tabs>
      <w:autoSpaceDE w:val="0"/>
      <w:autoSpaceDN w:val="0"/>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C028BE"/>
    <w:rPr>
      <w:rFonts w:ascii="Times New Roman" w:eastAsia="Times New Roman" w:hAnsi="Times New Roman" w:cs="Times New Roman"/>
      <w:sz w:val="20"/>
      <w:szCs w:val="20"/>
      <w:lang w:eastAsia="es-ES"/>
    </w:rPr>
  </w:style>
  <w:style w:type="paragraph" w:styleId="Textonotapie">
    <w:name w:val="footnote text"/>
    <w:basedOn w:val="Normal"/>
    <w:link w:val="TextonotapieCar"/>
    <w:semiHidden/>
    <w:rsid w:val="00C028BE"/>
    <w:pPr>
      <w:autoSpaceDE w:val="0"/>
      <w:autoSpaceDN w:val="0"/>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C028BE"/>
    <w:rPr>
      <w:rFonts w:ascii="Times New Roman" w:eastAsia="Times New Roman" w:hAnsi="Times New Roman" w:cs="Times New Roman"/>
      <w:sz w:val="20"/>
      <w:szCs w:val="20"/>
      <w:lang w:eastAsia="es-ES"/>
    </w:rPr>
  </w:style>
  <w:style w:type="character" w:styleId="Refdenotaalpie">
    <w:name w:val="footnote reference"/>
    <w:semiHidden/>
    <w:rsid w:val="00C028BE"/>
    <w:rPr>
      <w:vertAlign w:val="superscript"/>
    </w:rPr>
  </w:style>
  <w:style w:type="character" w:customStyle="1" w:styleId="TextodegloboCar">
    <w:name w:val="Texto de globo Car"/>
    <w:basedOn w:val="Fuentedeprrafopredeter"/>
    <w:link w:val="Textodeglobo"/>
    <w:uiPriority w:val="99"/>
    <w:semiHidden/>
    <w:rsid w:val="00C028BE"/>
    <w:rPr>
      <w:rFonts w:ascii="Segoe UI" w:hAnsi="Segoe UI" w:cs="Segoe UI"/>
      <w:sz w:val="18"/>
      <w:szCs w:val="18"/>
    </w:rPr>
  </w:style>
  <w:style w:type="paragraph" w:styleId="Textodeglobo">
    <w:name w:val="Balloon Text"/>
    <w:basedOn w:val="Normal"/>
    <w:link w:val="TextodegloboCar"/>
    <w:uiPriority w:val="99"/>
    <w:semiHidden/>
    <w:unhideWhenUsed/>
    <w:rsid w:val="00C028BE"/>
    <w:pPr>
      <w:spacing w:after="0" w:line="240" w:lineRule="auto"/>
    </w:pPr>
    <w:rPr>
      <w:rFonts w:ascii="Segoe UI" w:hAnsi="Segoe UI" w:cs="Segoe UI"/>
      <w:sz w:val="18"/>
      <w:szCs w:val="18"/>
    </w:rPr>
  </w:style>
  <w:style w:type="paragraph" w:styleId="Prrafodelista">
    <w:name w:val="List Paragraph"/>
    <w:basedOn w:val="Normal"/>
    <w:uiPriority w:val="34"/>
    <w:qFormat/>
    <w:rsid w:val="00C028BE"/>
    <w:pPr>
      <w:ind w:left="720"/>
      <w:contextualSpacing/>
    </w:pPr>
  </w:style>
  <w:style w:type="character" w:styleId="Hipervnculo">
    <w:name w:val="Hyperlink"/>
    <w:basedOn w:val="Fuentedeprrafopredeter"/>
    <w:uiPriority w:val="99"/>
    <w:unhideWhenUsed/>
    <w:rsid w:val="00C028BE"/>
    <w:rPr>
      <w:color w:val="0563C1" w:themeColor="hyperlink"/>
      <w:u w:val="single"/>
    </w:rPr>
  </w:style>
  <w:style w:type="character" w:customStyle="1" w:styleId="HTMLconformatoprevioCar">
    <w:name w:val="HTML con formato previo Car"/>
    <w:basedOn w:val="Fuentedeprrafopredeter"/>
    <w:link w:val="HTMLconformatoprevio"/>
    <w:uiPriority w:val="99"/>
    <w:semiHidden/>
    <w:rsid w:val="00C028BE"/>
    <w:rPr>
      <w:rFonts w:ascii="Consolas" w:hAnsi="Consolas"/>
      <w:sz w:val="20"/>
      <w:szCs w:val="20"/>
    </w:rPr>
  </w:style>
  <w:style w:type="paragraph" w:styleId="HTMLconformatoprevio">
    <w:name w:val="HTML Preformatted"/>
    <w:basedOn w:val="Normal"/>
    <w:link w:val="HTMLconformatoprevioCar"/>
    <w:uiPriority w:val="99"/>
    <w:semiHidden/>
    <w:unhideWhenUsed/>
    <w:rsid w:val="00C028BE"/>
    <w:pPr>
      <w:spacing w:after="0" w:line="240" w:lineRule="auto"/>
    </w:pPr>
    <w:rPr>
      <w:rFonts w:ascii="Consolas" w:hAnsi="Consolas"/>
      <w:sz w:val="20"/>
      <w:szCs w:val="20"/>
    </w:rPr>
  </w:style>
  <w:style w:type="paragraph" w:styleId="Textoindependiente">
    <w:name w:val="Body Text"/>
    <w:basedOn w:val="Normal"/>
    <w:link w:val="TextoindependienteCar"/>
    <w:rsid w:val="00C028BE"/>
    <w:pPr>
      <w:spacing w:after="0" w:line="24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C028BE"/>
    <w:rPr>
      <w:rFonts w:ascii="Arial" w:eastAsia="Times New Roman" w:hAnsi="Arial" w:cs="Arial"/>
      <w:sz w:val="24"/>
      <w:szCs w:val="24"/>
      <w:lang w:eastAsia="es-ES"/>
    </w:rPr>
  </w:style>
  <w:style w:type="paragraph" w:styleId="Sinespaciado">
    <w:name w:val="No Spacing"/>
    <w:uiPriority w:val="1"/>
    <w:qFormat/>
    <w:rsid w:val="00D02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decreto_0960_1970_pr00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14196</Words>
  <Characters>78080</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Gilberto Augusto Blanco Zuñiga</dc:creator>
  <cp:keywords/>
  <dc:description/>
  <cp:lastModifiedBy>Javier Vera Gutierrez</cp:lastModifiedBy>
  <cp:revision>2</cp:revision>
  <cp:lastPrinted>2015-12-11T19:52:00Z</cp:lastPrinted>
  <dcterms:created xsi:type="dcterms:W3CDTF">2016-01-28T12:57:00Z</dcterms:created>
  <dcterms:modified xsi:type="dcterms:W3CDTF">2016-01-28T12:57:00Z</dcterms:modified>
</cp:coreProperties>
</file>