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5D6" w:rsidRDefault="004375D6" w:rsidP="004375D6">
      <w:pPr>
        <w:pStyle w:val="Textoindependiente"/>
        <w:jc w:val="center"/>
        <w:rPr>
          <w:rFonts w:ascii="Bookman Old Style" w:hAnsi="Bookman Old Style" w:cs="Arial"/>
          <w:b/>
          <w:szCs w:val="28"/>
        </w:rPr>
      </w:pPr>
    </w:p>
    <w:p w:rsidR="004375D6" w:rsidRPr="008F46B1" w:rsidRDefault="004375D6" w:rsidP="004375D6">
      <w:pPr>
        <w:pStyle w:val="Textoindependiente"/>
        <w:jc w:val="center"/>
        <w:rPr>
          <w:rFonts w:ascii="Bookman Old Style" w:hAnsi="Bookman Old Style" w:cs="Arial"/>
          <w:b/>
          <w:szCs w:val="28"/>
        </w:rPr>
      </w:pPr>
      <w:r w:rsidRPr="008F46B1">
        <w:rPr>
          <w:rFonts w:ascii="Bookman Old Style" w:hAnsi="Bookman Old Style" w:cs="Arial"/>
          <w:b/>
          <w:szCs w:val="28"/>
        </w:rPr>
        <w:t>CORTE SUPREMA DE JUSTICIA</w:t>
      </w:r>
    </w:p>
    <w:p w:rsidR="004375D6" w:rsidRPr="007E0F08" w:rsidRDefault="004375D6" w:rsidP="004375D6">
      <w:pPr>
        <w:pStyle w:val="Textoindependiente"/>
        <w:jc w:val="center"/>
        <w:rPr>
          <w:rFonts w:ascii="Bookman Old Style" w:hAnsi="Bookman Old Style" w:cs="Arial"/>
          <w:b/>
          <w:szCs w:val="28"/>
        </w:rPr>
      </w:pPr>
      <w:r w:rsidRPr="007E0F08">
        <w:rPr>
          <w:rFonts w:ascii="Bookman Old Style" w:hAnsi="Bookman Old Style" w:cs="Arial"/>
          <w:b/>
          <w:szCs w:val="28"/>
        </w:rPr>
        <w:t>SALA DE CASACION CIVIL</w:t>
      </w:r>
    </w:p>
    <w:p w:rsidR="004375D6" w:rsidRPr="008F46B1" w:rsidRDefault="004375D6" w:rsidP="004375D6">
      <w:pPr>
        <w:pStyle w:val="Textoindependiente"/>
        <w:jc w:val="center"/>
        <w:rPr>
          <w:rFonts w:ascii="Bookman Old Style" w:hAnsi="Bookman Old Style" w:cs="Arial"/>
          <w:szCs w:val="28"/>
        </w:rPr>
      </w:pPr>
    </w:p>
    <w:p w:rsidR="004375D6" w:rsidRPr="0013092A" w:rsidRDefault="004375D6" w:rsidP="004375D6">
      <w:pPr>
        <w:pStyle w:val="Textoindependiente"/>
        <w:jc w:val="center"/>
        <w:rPr>
          <w:rFonts w:ascii="Bookman Old Style" w:hAnsi="Bookman Old Style" w:cs="Arial"/>
          <w:szCs w:val="28"/>
        </w:rPr>
      </w:pPr>
    </w:p>
    <w:p w:rsidR="004375D6" w:rsidRPr="0013092A" w:rsidRDefault="004375D6" w:rsidP="004375D6">
      <w:pPr>
        <w:pStyle w:val="Textoindependiente"/>
        <w:jc w:val="center"/>
        <w:rPr>
          <w:rFonts w:ascii="Bookman Old Style" w:hAnsi="Bookman Old Style" w:cs="Arial"/>
          <w:szCs w:val="28"/>
        </w:rPr>
      </w:pPr>
      <w:r w:rsidRPr="0013092A">
        <w:rPr>
          <w:rFonts w:ascii="Bookman Old Style" w:hAnsi="Bookman Old Style" w:cs="Arial"/>
          <w:b/>
          <w:szCs w:val="28"/>
        </w:rPr>
        <w:t>MARGARITA CABELLO BLANCO</w:t>
      </w:r>
      <w:r w:rsidRPr="0013092A">
        <w:rPr>
          <w:rFonts w:ascii="Bookman Old Style" w:hAnsi="Bookman Old Style" w:cs="Arial"/>
          <w:szCs w:val="28"/>
        </w:rPr>
        <w:t xml:space="preserve"> </w:t>
      </w:r>
    </w:p>
    <w:p w:rsidR="004375D6" w:rsidRPr="0013092A" w:rsidRDefault="004375D6" w:rsidP="004375D6">
      <w:pPr>
        <w:pStyle w:val="Textoindependiente"/>
        <w:jc w:val="center"/>
        <w:rPr>
          <w:rFonts w:ascii="Bookman Old Style" w:hAnsi="Bookman Old Style" w:cs="Arial"/>
          <w:b/>
          <w:szCs w:val="28"/>
        </w:rPr>
      </w:pPr>
      <w:r w:rsidRPr="0013092A">
        <w:rPr>
          <w:rFonts w:ascii="Bookman Old Style" w:hAnsi="Bookman Old Style" w:cs="Arial"/>
          <w:b/>
          <w:szCs w:val="28"/>
        </w:rPr>
        <w:t>Magistrada Ponente</w:t>
      </w:r>
    </w:p>
    <w:p w:rsidR="004375D6" w:rsidRPr="003569E7" w:rsidRDefault="004375D6" w:rsidP="004375D6">
      <w:pPr>
        <w:pStyle w:val="Textoindependiente"/>
        <w:jc w:val="center"/>
        <w:rPr>
          <w:rFonts w:cs="Arial"/>
          <w:b/>
          <w:sz w:val="32"/>
          <w:szCs w:val="32"/>
        </w:rPr>
      </w:pPr>
    </w:p>
    <w:p w:rsidR="004375D6" w:rsidRPr="008F46B1" w:rsidRDefault="004375D6" w:rsidP="004375D6">
      <w:pPr>
        <w:pStyle w:val="Textoindependiente"/>
        <w:rPr>
          <w:rFonts w:ascii="Bookman Old Style" w:hAnsi="Bookman Old Style" w:cs="Arial"/>
          <w:szCs w:val="28"/>
        </w:rPr>
      </w:pPr>
    </w:p>
    <w:p w:rsidR="004375D6" w:rsidRPr="007501EA" w:rsidRDefault="009963FC" w:rsidP="004375D6">
      <w:pPr>
        <w:pStyle w:val="Textoindependiente"/>
        <w:jc w:val="center"/>
        <w:rPr>
          <w:rFonts w:ascii="Bookman Old Style" w:hAnsi="Bookman Old Style" w:cs="Arial"/>
          <w:b/>
          <w:szCs w:val="28"/>
        </w:rPr>
      </w:pPr>
      <w:r w:rsidRPr="009963FC">
        <w:rPr>
          <w:rFonts w:ascii="Bookman Old Style" w:hAnsi="Bookman Old Style" w:cs="Arial"/>
          <w:b/>
          <w:szCs w:val="28"/>
        </w:rPr>
        <w:t>AC2636-2016</w:t>
      </w:r>
      <w:r w:rsidR="004375D6">
        <w:rPr>
          <w:rFonts w:ascii="Bookman Old Style" w:hAnsi="Bookman Old Style" w:cs="Arial"/>
          <w:b/>
          <w:szCs w:val="28"/>
        </w:rPr>
        <w:t xml:space="preserve">       </w:t>
      </w:r>
    </w:p>
    <w:p w:rsidR="004375D6" w:rsidRPr="008F46B1" w:rsidRDefault="004375D6" w:rsidP="004375D6">
      <w:pPr>
        <w:ind w:firstLine="708"/>
        <w:jc w:val="both"/>
        <w:rPr>
          <w:b/>
        </w:rPr>
      </w:pPr>
      <w:r w:rsidRPr="008F46B1">
        <w:rPr>
          <w:b/>
        </w:rPr>
        <w:t xml:space="preserve">Radicación n° </w:t>
      </w:r>
      <w:r>
        <w:rPr>
          <w:b/>
        </w:rPr>
        <w:t>11001 02 03 000 2015 01942 00</w:t>
      </w:r>
    </w:p>
    <w:p w:rsidR="004375D6" w:rsidRPr="008F46B1" w:rsidRDefault="004375D6" w:rsidP="004375D6">
      <w:pPr>
        <w:ind w:left="708" w:firstLine="708"/>
      </w:pPr>
    </w:p>
    <w:p w:rsidR="004375D6" w:rsidRPr="008F46B1" w:rsidRDefault="004375D6" w:rsidP="004375D6">
      <w:pPr>
        <w:pStyle w:val="Textoindependiente"/>
        <w:ind w:firstLine="708"/>
        <w:rPr>
          <w:rFonts w:ascii="Bookman Old Style" w:hAnsi="Bookman Old Style" w:cs="Arial"/>
          <w:szCs w:val="28"/>
        </w:rPr>
      </w:pPr>
      <w:r w:rsidRPr="008F46B1">
        <w:rPr>
          <w:rFonts w:ascii="Bookman Old Style" w:hAnsi="Bookman Old Style" w:cs="Arial"/>
          <w:szCs w:val="28"/>
        </w:rPr>
        <w:t>Bogotá, D. C.</w:t>
      </w:r>
      <w:r>
        <w:rPr>
          <w:rFonts w:ascii="Bookman Old Style" w:hAnsi="Bookman Old Style" w:cs="Arial"/>
          <w:szCs w:val="28"/>
        </w:rPr>
        <w:t xml:space="preserve">, </w:t>
      </w:r>
      <w:r w:rsidR="009963FC">
        <w:rPr>
          <w:rFonts w:ascii="Bookman Old Style" w:hAnsi="Bookman Old Style" w:cs="Arial"/>
          <w:szCs w:val="28"/>
        </w:rPr>
        <w:t>cuatro (4) de mayo de dos mil dieciséis (2016).</w:t>
      </w:r>
    </w:p>
    <w:p w:rsidR="004375D6" w:rsidRDefault="004375D6" w:rsidP="004375D6">
      <w:pPr>
        <w:pStyle w:val="Textoindependiente"/>
        <w:rPr>
          <w:rFonts w:ascii="Bookman Old Style" w:hAnsi="Bookman Old Style" w:cs="Arial"/>
          <w:szCs w:val="28"/>
        </w:rPr>
      </w:pPr>
      <w:r>
        <w:rPr>
          <w:rFonts w:ascii="Bookman Old Style" w:hAnsi="Bookman Old Style" w:cs="Arial"/>
          <w:szCs w:val="28"/>
        </w:rPr>
        <w:tab/>
      </w:r>
    </w:p>
    <w:p w:rsidR="004375D6" w:rsidRDefault="004375D6" w:rsidP="004375D6">
      <w:pPr>
        <w:pStyle w:val="Textoindependiente"/>
        <w:rPr>
          <w:rFonts w:ascii="Bookman Old Style" w:hAnsi="Bookman Old Style" w:cs="Arial"/>
          <w:szCs w:val="28"/>
        </w:rPr>
      </w:pPr>
      <w:r>
        <w:rPr>
          <w:rFonts w:ascii="Bookman Old Style" w:hAnsi="Bookman Old Style" w:cs="Arial"/>
          <w:szCs w:val="28"/>
        </w:rPr>
        <w:tab/>
        <w:t xml:space="preserve">Procede la suscrita Magistrada a </w:t>
      </w:r>
      <w:r w:rsidR="00E2730A">
        <w:rPr>
          <w:rFonts w:ascii="Bookman Old Style" w:hAnsi="Bookman Old Style" w:cs="Arial"/>
          <w:szCs w:val="28"/>
        </w:rPr>
        <w:t xml:space="preserve">adoptar la </w:t>
      </w:r>
      <w:r>
        <w:rPr>
          <w:rFonts w:ascii="Bookman Old Style" w:hAnsi="Bookman Old Style" w:cs="Arial"/>
          <w:szCs w:val="28"/>
        </w:rPr>
        <w:t>resol</w:t>
      </w:r>
      <w:r w:rsidR="00E2730A">
        <w:rPr>
          <w:rFonts w:ascii="Bookman Old Style" w:hAnsi="Bookman Old Style" w:cs="Arial"/>
          <w:szCs w:val="28"/>
        </w:rPr>
        <w:t>ución pertinente, respecto de</w:t>
      </w:r>
      <w:r>
        <w:rPr>
          <w:rFonts w:ascii="Bookman Old Style" w:hAnsi="Bookman Old Style" w:cs="Arial"/>
          <w:szCs w:val="28"/>
        </w:rPr>
        <w:t xml:space="preserve"> la petición elevada por </w:t>
      </w:r>
      <w:r w:rsidR="00FF1E46">
        <w:rPr>
          <w:rFonts w:ascii="Bookman Old Style" w:hAnsi="Bookman Old Style" w:cs="Arial"/>
          <w:szCs w:val="28"/>
        </w:rPr>
        <w:t xml:space="preserve">la señora MARTHA LUCIA JIMÉNEZ QUIÑONEZ, </w:t>
      </w:r>
      <w:r w:rsidR="00B32AC4">
        <w:rPr>
          <w:rFonts w:ascii="Bookman Old Style" w:hAnsi="Bookman Old Style" w:cs="Arial"/>
          <w:szCs w:val="28"/>
        </w:rPr>
        <w:t xml:space="preserve">a través de su representante judicial, </w:t>
      </w:r>
      <w:r w:rsidR="00FF1E46">
        <w:rPr>
          <w:rFonts w:ascii="Bookman Old Style" w:hAnsi="Bookman Old Style" w:cs="Arial"/>
          <w:szCs w:val="28"/>
        </w:rPr>
        <w:t>tendiente al cambio de radicación del proceso que en su contra promovió ECOPETROL S.A.</w:t>
      </w:r>
    </w:p>
    <w:p w:rsidR="00E2730A" w:rsidRDefault="00E2730A" w:rsidP="004375D6">
      <w:pPr>
        <w:pStyle w:val="Textoindependiente"/>
        <w:rPr>
          <w:rFonts w:ascii="Bookman Old Style" w:hAnsi="Bookman Old Style" w:cs="Arial"/>
          <w:szCs w:val="28"/>
        </w:rPr>
      </w:pPr>
    </w:p>
    <w:p w:rsidR="004375D6" w:rsidRDefault="004375D6" w:rsidP="004375D6">
      <w:pPr>
        <w:pStyle w:val="Textoindependiente"/>
        <w:rPr>
          <w:rFonts w:ascii="Bookman Old Style" w:hAnsi="Bookman Old Style" w:cs="Arial"/>
          <w:szCs w:val="28"/>
        </w:rPr>
      </w:pPr>
    </w:p>
    <w:p w:rsidR="004375D6" w:rsidRDefault="004375D6" w:rsidP="004375D6">
      <w:pPr>
        <w:pStyle w:val="Textoindependiente"/>
        <w:jc w:val="center"/>
        <w:rPr>
          <w:rFonts w:ascii="Bookman Old Style" w:hAnsi="Bookman Old Style" w:cs="Arial"/>
          <w:b/>
          <w:szCs w:val="28"/>
        </w:rPr>
      </w:pPr>
      <w:r w:rsidRPr="00144D89">
        <w:rPr>
          <w:rFonts w:ascii="Bookman Old Style" w:hAnsi="Bookman Old Style" w:cs="Arial"/>
          <w:b/>
          <w:szCs w:val="28"/>
        </w:rPr>
        <w:t>I</w:t>
      </w:r>
      <w:r>
        <w:rPr>
          <w:rFonts w:ascii="Bookman Old Style" w:hAnsi="Bookman Old Style" w:cs="Arial"/>
          <w:b/>
          <w:szCs w:val="28"/>
        </w:rPr>
        <w:t>.</w:t>
      </w:r>
      <w:r w:rsidRPr="00144D89">
        <w:rPr>
          <w:rFonts w:ascii="Bookman Old Style" w:hAnsi="Bookman Old Style" w:cs="Arial"/>
          <w:b/>
          <w:szCs w:val="28"/>
        </w:rPr>
        <w:t xml:space="preserve"> ANTECEDENTES</w:t>
      </w:r>
    </w:p>
    <w:p w:rsidR="004375D6" w:rsidRDefault="004375D6" w:rsidP="004375D6">
      <w:pPr>
        <w:pStyle w:val="Textoindependiente"/>
        <w:ind w:firstLine="1418"/>
        <w:jc w:val="center"/>
        <w:rPr>
          <w:rFonts w:ascii="Bookman Old Style" w:hAnsi="Bookman Old Style" w:cs="Arial"/>
          <w:b/>
          <w:szCs w:val="28"/>
        </w:rPr>
      </w:pPr>
    </w:p>
    <w:p w:rsidR="004375D6" w:rsidRDefault="004375D6" w:rsidP="004375D6">
      <w:pPr>
        <w:pStyle w:val="Textoindependiente"/>
        <w:ind w:firstLine="708"/>
        <w:rPr>
          <w:rFonts w:ascii="Bookman Old Style" w:hAnsi="Bookman Old Style" w:cs="Arial"/>
          <w:szCs w:val="28"/>
        </w:rPr>
      </w:pPr>
      <w:r>
        <w:rPr>
          <w:rFonts w:ascii="Bookman Old Style" w:hAnsi="Bookman Old Style" w:cs="Arial"/>
          <w:szCs w:val="28"/>
        </w:rPr>
        <w:t xml:space="preserve">1. </w:t>
      </w:r>
      <w:r w:rsidR="00FF1E46">
        <w:rPr>
          <w:rFonts w:ascii="Bookman Old Style" w:hAnsi="Bookman Old Style" w:cs="Arial"/>
          <w:szCs w:val="28"/>
        </w:rPr>
        <w:t xml:space="preserve">En el escrito pertinente, quien lo suscribe, aduciendo su calidad de ‘apoderado’ de la citada precedentemente, manifestó que ante el Juzgado Promiscuo del Circuito de Paz de Ariporo –Casanare-, se radicó bajo el No. 2013 00037 00, el </w:t>
      </w:r>
      <w:r w:rsidR="00FF1E46">
        <w:rPr>
          <w:rFonts w:ascii="Bookman Old Style" w:hAnsi="Bookman Old Style" w:cs="Arial"/>
          <w:szCs w:val="28"/>
        </w:rPr>
        <w:lastRenderedPageBreak/>
        <w:t>trámite concerniente con la revisión del avalúo de una servidumbre petrolera.</w:t>
      </w:r>
    </w:p>
    <w:p w:rsidR="00FF1E46" w:rsidRDefault="00FF1E46" w:rsidP="004375D6">
      <w:pPr>
        <w:pStyle w:val="Textoindependiente"/>
        <w:ind w:firstLine="708"/>
        <w:rPr>
          <w:rFonts w:ascii="Bookman Old Style" w:hAnsi="Bookman Old Style" w:cs="Arial"/>
          <w:szCs w:val="28"/>
        </w:rPr>
      </w:pPr>
    </w:p>
    <w:p w:rsidR="002B5295" w:rsidRDefault="00FF1E46" w:rsidP="002B5295">
      <w:pPr>
        <w:pStyle w:val="Textoindependiente"/>
        <w:ind w:firstLine="708"/>
        <w:rPr>
          <w:rFonts w:ascii="Bookman Old Style" w:hAnsi="Bookman Old Style" w:cs="Arial"/>
          <w:szCs w:val="28"/>
        </w:rPr>
      </w:pPr>
      <w:r>
        <w:rPr>
          <w:rFonts w:ascii="Bookman Old Style" w:hAnsi="Bookman Old Style" w:cs="Arial"/>
          <w:szCs w:val="28"/>
        </w:rPr>
        <w:t xml:space="preserve">2. El auto admisorio fue notificado el 19 de diciembre de 2013, luego, el </w:t>
      </w:r>
      <w:r w:rsidR="002B5295">
        <w:rPr>
          <w:rFonts w:ascii="Bookman Old Style" w:hAnsi="Bookman Old Style" w:cs="Arial"/>
          <w:szCs w:val="28"/>
        </w:rPr>
        <w:t>cinco (5) y catorce (14) de mayo de dos mil catorce (2014), se surtieron algunas actuaciones. El dieciséis (16) de diciembre del mismo año, la parte actora fue requerida para que impulsara el trámite subsiguiente so pena de decretar el desistimiento tácito.</w:t>
      </w:r>
    </w:p>
    <w:p w:rsidR="002B5295" w:rsidRDefault="002B5295" w:rsidP="002B5295">
      <w:pPr>
        <w:pStyle w:val="Textoindependiente"/>
        <w:ind w:firstLine="708"/>
        <w:rPr>
          <w:rFonts w:ascii="Bookman Old Style" w:hAnsi="Bookman Old Style" w:cs="Arial"/>
          <w:szCs w:val="28"/>
        </w:rPr>
      </w:pPr>
    </w:p>
    <w:p w:rsidR="002B5295" w:rsidRDefault="002B5295" w:rsidP="002B5295">
      <w:pPr>
        <w:pStyle w:val="Textoindependiente"/>
        <w:ind w:firstLine="708"/>
        <w:rPr>
          <w:rFonts w:ascii="Bookman Old Style" w:hAnsi="Bookman Old Style" w:cs="Arial"/>
          <w:szCs w:val="28"/>
        </w:rPr>
      </w:pPr>
      <w:r>
        <w:rPr>
          <w:rFonts w:ascii="Bookman Old Style" w:hAnsi="Bookman Old Style" w:cs="Arial"/>
          <w:szCs w:val="28"/>
        </w:rPr>
        <w:t>3. El cuatro (4) de febrero de dos mil quince (2015), el IGAC, con respecto al avalúo que se le había solicitado, manifestó que carecía de elementos para cumplir con ese encargo. El quince (15) de abril siguiente, el juzgado de conocimiento ‘</w:t>
      </w:r>
      <w:r w:rsidRPr="00B32AC4">
        <w:rPr>
          <w:rFonts w:ascii="Bookman Old Style" w:hAnsi="Bookman Old Style" w:cs="Arial"/>
          <w:i/>
          <w:szCs w:val="28"/>
        </w:rPr>
        <w:t xml:space="preserve">confiere, ordena, mas </w:t>
      </w:r>
      <w:r w:rsidRPr="00B32AC4">
        <w:rPr>
          <w:rFonts w:ascii="Bookman Old Style" w:hAnsi="Bookman Old Style" w:cs="Arial"/>
          <w:szCs w:val="28"/>
        </w:rPr>
        <w:t>(sic)</w:t>
      </w:r>
      <w:r w:rsidRPr="00B32AC4">
        <w:rPr>
          <w:rFonts w:ascii="Bookman Old Style" w:hAnsi="Bookman Old Style" w:cs="Arial"/>
          <w:i/>
          <w:szCs w:val="28"/>
        </w:rPr>
        <w:t xml:space="preserve"> que ello implora, a ECOPETROL S.A. se digne cumplir con su carga</w:t>
      </w:r>
      <w:r>
        <w:rPr>
          <w:rFonts w:ascii="Bookman Old Style" w:hAnsi="Bookman Old Style" w:cs="Arial"/>
          <w:szCs w:val="28"/>
        </w:rPr>
        <w:t>’.</w:t>
      </w:r>
    </w:p>
    <w:p w:rsidR="002B5295" w:rsidRDefault="002B5295" w:rsidP="002B5295">
      <w:pPr>
        <w:pStyle w:val="Textoindependiente"/>
        <w:ind w:firstLine="708"/>
        <w:rPr>
          <w:rFonts w:ascii="Bookman Old Style" w:hAnsi="Bookman Old Style" w:cs="Arial"/>
          <w:szCs w:val="28"/>
        </w:rPr>
      </w:pPr>
    </w:p>
    <w:p w:rsidR="002B5295" w:rsidRDefault="002B5295" w:rsidP="002B5295">
      <w:pPr>
        <w:pStyle w:val="Textoindependiente"/>
        <w:ind w:firstLine="708"/>
        <w:rPr>
          <w:rFonts w:ascii="Bookman Old Style" w:hAnsi="Bookman Old Style" w:cs="Arial"/>
          <w:szCs w:val="28"/>
        </w:rPr>
      </w:pPr>
      <w:r>
        <w:rPr>
          <w:rFonts w:ascii="Bookman Old Style" w:hAnsi="Bookman Old Style" w:cs="Arial"/>
          <w:szCs w:val="28"/>
        </w:rPr>
        <w:t>4. Esta última providencia fue recurrida por el representante judicial de la parte demandada y solo hasta el d</w:t>
      </w:r>
      <w:r w:rsidR="00B32AC4">
        <w:rPr>
          <w:rFonts w:ascii="Bookman Old Style" w:hAnsi="Bookman Old Style" w:cs="Arial"/>
          <w:szCs w:val="28"/>
        </w:rPr>
        <w:t>ía veintinueve (</w:t>
      </w:r>
      <w:r>
        <w:rPr>
          <w:rFonts w:ascii="Bookman Old Style" w:hAnsi="Bookman Old Style" w:cs="Arial"/>
          <w:szCs w:val="28"/>
        </w:rPr>
        <w:t xml:space="preserve">29) de julio de la misma anualidad se le dio </w:t>
      </w:r>
      <w:r w:rsidR="00A11D65">
        <w:rPr>
          <w:rFonts w:ascii="Bookman Old Style" w:hAnsi="Bookman Old Style" w:cs="Arial"/>
          <w:szCs w:val="28"/>
        </w:rPr>
        <w:t xml:space="preserve">el </w:t>
      </w:r>
      <w:r>
        <w:rPr>
          <w:rFonts w:ascii="Bookman Old Style" w:hAnsi="Bookman Old Style" w:cs="Arial"/>
          <w:szCs w:val="28"/>
        </w:rPr>
        <w:t>trámite</w:t>
      </w:r>
      <w:r w:rsidR="00A11D65">
        <w:rPr>
          <w:rFonts w:ascii="Bookman Old Style" w:hAnsi="Bookman Old Style" w:cs="Arial"/>
          <w:szCs w:val="28"/>
        </w:rPr>
        <w:t xml:space="preserve"> correspondiente</w:t>
      </w:r>
      <w:r>
        <w:rPr>
          <w:rFonts w:ascii="Bookman Old Style" w:hAnsi="Bookman Old Style" w:cs="Arial"/>
          <w:szCs w:val="28"/>
        </w:rPr>
        <w:t xml:space="preserve">.  </w:t>
      </w:r>
    </w:p>
    <w:p w:rsidR="002B5295" w:rsidRDefault="002B5295" w:rsidP="004375D6">
      <w:pPr>
        <w:pStyle w:val="Textoindependiente"/>
        <w:ind w:firstLine="708"/>
        <w:rPr>
          <w:rFonts w:ascii="Bookman Old Style" w:hAnsi="Bookman Old Style" w:cs="Arial"/>
          <w:szCs w:val="28"/>
        </w:rPr>
      </w:pPr>
    </w:p>
    <w:p w:rsidR="002B5295" w:rsidRDefault="002B5295" w:rsidP="004375D6">
      <w:pPr>
        <w:pStyle w:val="Textoindependiente"/>
        <w:ind w:firstLine="708"/>
        <w:rPr>
          <w:rFonts w:ascii="Bookman Old Style" w:hAnsi="Bookman Old Style" w:cs="Arial"/>
          <w:szCs w:val="28"/>
        </w:rPr>
      </w:pPr>
      <w:r>
        <w:rPr>
          <w:rFonts w:ascii="Bookman Old Style" w:hAnsi="Bookman Old Style" w:cs="Arial"/>
          <w:szCs w:val="28"/>
        </w:rPr>
        <w:t xml:space="preserve">5. Previamente a impulsar </w:t>
      </w:r>
      <w:r w:rsidR="00A11D65">
        <w:rPr>
          <w:rFonts w:ascii="Bookman Old Style" w:hAnsi="Bookman Old Style" w:cs="Arial"/>
          <w:szCs w:val="28"/>
        </w:rPr>
        <w:t>la</w:t>
      </w:r>
      <w:r>
        <w:rPr>
          <w:rFonts w:ascii="Bookman Old Style" w:hAnsi="Bookman Old Style" w:cs="Arial"/>
          <w:szCs w:val="28"/>
        </w:rPr>
        <w:t xml:space="preserve"> </w:t>
      </w:r>
      <w:r w:rsidR="00B32AC4">
        <w:rPr>
          <w:rFonts w:ascii="Bookman Old Style" w:hAnsi="Bookman Old Style" w:cs="Arial"/>
          <w:szCs w:val="28"/>
        </w:rPr>
        <w:t>petición</w:t>
      </w:r>
      <w:r w:rsidR="00A11D65">
        <w:rPr>
          <w:rFonts w:ascii="Bookman Old Style" w:hAnsi="Bookman Old Style" w:cs="Arial"/>
          <w:szCs w:val="28"/>
        </w:rPr>
        <w:t xml:space="preserve"> objeto de estudio</w:t>
      </w:r>
      <w:r>
        <w:rPr>
          <w:rFonts w:ascii="Bookman Old Style" w:hAnsi="Bookman Old Style" w:cs="Arial"/>
          <w:szCs w:val="28"/>
        </w:rPr>
        <w:t>, la inconforme solicitó a la Sala Administrativa del Consejo Superior el concepto previo</w:t>
      </w:r>
      <w:r w:rsidR="00A11D65">
        <w:rPr>
          <w:rFonts w:ascii="Bookman Old Style" w:hAnsi="Bookman Old Style" w:cs="Arial"/>
          <w:szCs w:val="28"/>
        </w:rPr>
        <w:t>,</w:t>
      </w:r>
      <w:r>
        <w:rPr>
          <w:rFonts w:ascii="Bookman Old Style" w:hAnsi="Bookman Old Style" w:cs="Arial"/>
          <w:szCs w:val="28"/>
        </w:rPr>
        <w:t xml:space="preserve"> tal cual lo establece el artículo 30 del Código General del Proceso. </w:t>
      </w:r>
      <w:r w:rsidR="00A11D65">
        <w:rPr>
          <w:rFonts w:ascii="Bookman Old Style" w:hAnsi="Bookman Old Style" w:cs="Arial"/>
          <w:szCs w:val="28"/>
        </w:rPr>
        <w:t>La referida entidad le contestó que la Corte era la llamada a formular tal pedimento.</w:t>
      </w:r>
    </w:p>
    <w:p w:rsidR="004375D6" w:rsidRDefault="002B5295" w:rsidP="002B5295">
      <w:pPr>
        <w:pStyle w:val="Textoindependiente"/>
        <w:ind w:firstLine="708"/>
      </w:pPr>
      <w:r>
        <w:rPr>
          <w:rFonts w:ascii="Bookman Old Style" w:hAnsi="Bookman Old Style" w:cs="Arial"/>
          <w:szCs w:val="28"/>
        </w:rPr>
        <w:t xml:space="preserve"> </w:t>
      </w:r>
    </w:p>
    <w:p w:rsidR="004375D6" w:rsidRPr="009B73A9" w:rsidRDefault="004375D6" w:rsidP="004375D6">
      <w:pPr>
        <w:ind w:firstLine="708"/>
        <w:jc w:val="both"/>
        <w:rPr>
          <w:lang w:val="es-ES"/>
        </w:rPr>
      </w:pPr>
    </w:p>
    <w:p w:rsidR="004375D6" w:rsidRDefault="004375D6" w:rsidP="004375D6">
      <w:pPr>
        <w:pStyle w:val="Textoindependiente"/>
        <w:ind w:firstLine="708"/>
        <w:rPr>
          <w:rFonts w:ascii="Bookman Old Style" w:hAnsi="Bookman Old Style" w:cs="Arial"/>
          <w:b/>
          <w:szCs w:val="28"/>
          <w:lang w:val="es-CO"/>
        </w:rPr>
      </w:pPr>
      <w:r>
        <w:rPr>
          <w:rFonts w:ascii="Bookman Old Style" w:hAnsi="Bookman Old Style" w:cs="Arial"/>
          <w:b/>
          <w:szCs w:val="28"/>
          <w:lang w:val="es-CO"/>
        </w:rPr>
        <w:t>Las razones expuestas para el cambio de radicación</w:t>
      </w:r>
    </w:p>
    <w:p w:rsidR="004375D6" w:rsidRDefault="00433227" w:rsidP="00433227">
      <w:pPr>
        <w:pStyle w:val="Textoindependiente"/>
        <w:ind w:firstLine="708"/>
        <w:rPr>
          <w:rFonts w:ascii="Bookman Old Style" w:hAnsi="Bookman Old Style" w:cs="Arial"/>
          <w:szCs w:val="28"/>
        </w:rPr>
      </w:pPr>
      <w:r>
        <w:rPr>
          <w:rFonts w:ascii="Bookman Old Style" w:hAnsi="Bookman Old Style" w:cs="Arial"/>
          <w:szCs w:val="28"/>
        </w:rPr>
        <w:lastRenderedPageBreak/>
        <w:t xml:space="preserve">La </w:t>
      </w:r>
      <w:r w:rsidR="00A11D65">
        <w:rPr>
          <w:rFonts w:ascii="Bookman Old Style" w:hAnsi="Bookman Old Style" w:cs="Arial"/>
          <w:szCs w:val="28"/>
        </w:rPr>
        <w:t xml:space="preserve">inconformidad a que </w:t>
      </w:r>
      <w:r>
        <w:rPr>
          <w:rFonts w:ascii="Bookman Old Style" w:hAnsi="Bookman Old Style" w:cs="Arial"/>
          <w:szCs w:val="28"/>
        </w:rPr>
        <w:t>se contraen estas diligencias, incorpora los siguientes argumentos</w:t>
      </w:r>
      <w:r w:rsidR="00A11D65">
        <w:rPr>
          <w:rFonts w:ascii="Bookman Old Style" w:hAnsi="Bookman Old Style" w:cs="Arial"/>
          <w:szCs w:val="28"/>
        </w:rPr>
        <w:t xml:space="preserve"> como soporte de la misma, dirigidos, todos ellos, a demostrar que el juez acusado no ha sido diligente. Asevera la memorialista que el funcionario ha desconocido los términos previstos para las diferentes etapas reservadas a la clase de litigio puesto a su consideración; no ha ejercido el poder de dirección e instrucción que la ley le atribuyó y, en fin, no existen garantías para la parte demandada.</w:t>
      </w:r>
      <w:r>
        <w:rPr>
          <w:rFonts w:ascii="Bookman Old Style" w:hAnsi="Bookman Old Style" w:cs="Arial"/>
          <w:szCs w:val="28"/>
        </w:rPr>
        <w:t xml:space="preserve"> </w:t>
      </w:r>
    </w:p>
    <w:p w:rsidR="004375D6" w:rsidRDefault="004375D6" w:rsidP="004375D6">
      <w:pPr>
        <w:pStyle w:val="Textoindependiente"/>
        <w:ind w:firstLine="708"/>
        <w:rPr>
          <w:rFonts w:ascii="Bookman Old Style" w:hAnsi="Bookman Old Style" w:cs="Arial"/>
          <w:szCs w:val="28"/>
        </w:rPr>
      </w:pPr>
    </w:p>
    <w:p w:rsidR="00A11D65" w:rsidRDefault="00A11D65" w:rsidP="004375D6">
      <w:pPr>
        <w:pStyle w:val="Textoindependiente"/>
        <w:ind w:firstLine="708"/>
        <w:rPr>
          <w:rFonts w:ascii="Bookman Old Style" w:hAnsi="Bookman Old Style" w:cs="Arial"/>
          <w:szCs w:val="28"/>
        </w:rPr>
      </w:pPr>
      <w:r>
        <w:rPr>
          <w:rFonts w:ascii="Bookman Old Style" w:hAnsi="Bookman Old Style" w:cs="Arial"/>
          <w:szCs w:val="28"/>
        </w:rPr>
        <w:t>A lo largo de su escrito reseñó, puntualmente, las anomalías denunciadas:</w:t>
      </w:r>
    </w:p>
    <w:p w:rsidR="00A11D65" w:rsidRDefault="00A11D65" w:rsidP="004375D6">
      <w:pPr>
        <w:pStyle w:val="Textoindependiente"/>
        <w:ind w:firstLine="708"/>
        <w:rPr>
          <w:rFonts w:ascii="Bookman Old Style" w:hAnsi="Bookman Old Style" w:cs="Arial"/>
          <w:szCs w:val="28"/>
        </w:rPr>
      </w:pPr>
    </w:p>
    <w:p w:rsidR="00433227" w:rsidRPr="006D3B09" w:rsidRDefault="00433227" w:rsidP="004375D6">
      <w:pPr>
        <w:pStyle w:val="Textoindependiente"/>
        <w:ind w:firstLine="708"/>
        <w:rPr>
          <w:rFonts w:ascii="Bookman Old Style" w:hAnsi="Bookman Old Style" w:cs="Arial"/>
          <w:szCs w:val="28"/>
        </w:rPr>
      </w:pPr>
      <w:r>
        <w:rPr>
          <w:rFonts w:ascii="Bookman Old Style" w:hAnsi="Bookman Old Style" w:cs="Arial"/>
          <w:szCs w:val="28"/>
        </w:rPr>
        <w:t xml:space="preserve">«(….) </w:t>
      </w:r>
      <w:r w:rsidRPr="00433227">
        <w:rPr>
          <w:rFonts w:ascii="Bookman Old Style" w:hAnsi="Bookman Old Style" w:cs="Arial"/>
          <w:i/>
          <w:sz w:val="24"/>
          <w:szCs w:val="24"/>
        </w:rPr>
        <w:t xml:space="preserve">por deficiencias de gestión y celeridad del proceso </w:t>
      </w:r>
      <w:r>
        <w:rPr>
          <w:rFonts w:ascii="Bookman Old Style" w:hAnsi="Bookman Old Style" w:cs="Arial"/>
          <w:szCs w:val="28"/>
        </w:rPr>
        <w:t>(….)</w:t>
      </w:r>
      <w:r>
        <w:rPr>
          <w:rFonts w:ascii="Bookman Old Style" w:hAnsi="Bookman Old Style" w:cs="Arial"/>
          <w:i/>
          <w:szCs w:val="28"/>
        </w:rPr>
        <w:t>»</w:t>
      </w:r>
      <w:r w:rsidR="006D3B09">
        <w:rPr>
          <w:rFonts w:ascii="Bookman Old Style" w:hAnsi="Bookman Old Style" w:cs="Arial"/>
          <w:i/>
          <w:szCs w:val="28"/>
        </w:rPr>
        <w:t xml:space="preserve"> </w:t>
      </w:r>
      <w:r w:rsidR="006D3B09">
        <w:rPr>
          <w:rFonts w:ascii="Bookman Old Style" w:hAnsi="Bookman Old Style" w:cs="Arial"/>
          <w:szCs w:val="28"/>
        </w:rPr>
        <w:t>(fl., 11)</w:t>
      </w:r>
      <w:r>
        <w:rPr>
          <w:rFonts w:ascii="Bookman Old Style" w:hAnsi="Bookman Old Style" w:cs="Arial"/>
          <w:i/>
          <w:szCs w:val="28"/>
        </w:rPr>
        <w:t>.</w:t>
      </w:r>
    </w:p>
    <w:p w:rsidR="00433227" w:rsidRDefault="00433227" w:rsidP="004375D6">
      <w:pPr>
        <w:pStyle w:val="Textoindependiente"/>
        <w:ind w:firstLine="708"/>
        <w:rPr>
          <w:rFonts w:ascii="Bookman Old Style" w:hAnsi="Bookman Old Style" w:cs="Arial"/>
          <w:i/>
          <w:szCs w:val="28"/>
        </w:rPr>
      </w:pPr>
    </w:p>
    <w:p w:rsidR="00433227" w:rsidRDefault="006D3B09" w:rsidP="004375D6">
      <w:pPr>
        <w:pStyle w:val="Textoindependiente"/>
        <w:ind w:firstLine="708"/>
        <w:rPr>
          <w:rFonts w:ascii="Bookman Old Style" w:hAnsi="Bookman Old Style" w:cs="Arial"/>
          <w:szCs w:val="28"/>
        </w:rPr>
      </w:pPr>
      <w:r>
        <w:rPr>
          <w:rFonts w:ascii="Bookman Old Style" w:hAnsi="Bookman Old Style" w:cs="Arial"/>
          <w:szCs w:val="28"/>
        </w:rPr>
        <w:t>Y, en el hecho número 5°, expuso:</w:t>
      </w:r>
    </w:p>
    <w:p w:rsidR="006D3B09" w:rsidRDefault="006D3B09" w:rsidP="004375D6">
      <w:pPr>
        <w:pStyle w:val="Textoindependiente"/>
        <w:ind w:firstLine="708"/>
        <w:rPr>
          <w:rFonts w:ascii="Bookman Old Style" w:hAnsi="Bookman Old Style" w:cs="Arial"/>
          <w:szCs w:val="28"/>
        </w:rPr>
      </w:pPr>
    </w:p>
    <w:p w:rsidR="006D3B09" w:rsidRDefault="006D3B09" w:rsidP="006D3B09">
      <w:pPr>
        <w:pStyle w:val="Textoindependiente"/>
        <w:ind w:left="708"/>
        <w:rPr>
          <w:rFonts w:ascii="Bookman Old Style" w:hAnsi="Bookman Old Style" w:cs="Arial"/>
          <w:i/>
          <w:sz w:val="24"/>
          <w:szCs w:val="24"/>
        </w:rPr>
      </w:pPr>
      <w:r>
        <w:rPr>
          <w:rFonts w:ascii="Bookman Old Style" w:hAnsi="Bookman Old Style" w:cs="Arial"/>
          <w:szCs w:val="28"/>
        </w:rPr>
        <w:t>«</w:t>
      </w:r>
      <w:r>
        <w:rPr>
          <w:rFonts w:ascii="Bookman Old Style" w:hAnsi="Bookman Old Style" w:cs="Arial"/>
          <w:i/>
          <w:sz w:val="24"/>
          <w:szCs w:val="24"/>
        </w:rPr>
        <w:t>En el proceso precedentemente referenciado se ha incumplido la prescripción procesal del parágrafo del artículo 124 del Código de Procedimiento Civil, cuya observancia fue requerida por este apoderado sin haber sido atendida dicha petición, lo que se aúna como evidencia de la deficiente gestión del operado judicial».</w:t>
      </w:r>
    </w:p>
    <w:p w:rsidR="006D3B09" w:rsidRDefault="006D3B09" w:rsidP="006D3B09">
      <w:pPr>
        <w:pStyle w:val="Textoindependiente"/>
        <w:ind w:left="708"/>
        <w:rPr>
          <w:rFonts w:ascii="Bookman Old Style" w:hAnsi="Bookman Old Style" w:cs="Arial"/>
          <w:i/>
          <w:sz w:val="24"/>
          <w:szCs w:val="24"/>
        </w:rPr>
      </w:pPr>
    </w:p>
    <w:p w:rsidR="006D3B09" w:rsidRDefault="006D3B09" w:rsidP="006D3B09">
      <w:pPr>
        <w:pStyle w:val="Textoindependiente"/>
        <w:ind w:left="708"/>
        <w:rPr>
          <w:rFonts w:ascii="Bookman Old Style" w:hAnsi="Bookman Old Style" w:cs="Arial"/>
          <w:szCs w:val="28"/>
        </w:rPr>
      </w:pPr>
      <w:r>
        <w:rPr>
          <w:rFonts w:ascii="Bookman Old Style" w:hAnsi="Bookman Old Style" w:cs="Arial"/>
          <w:szCs w:val="28"/>
        </w:rPr>
        <w:t>Más adelante, en el hecho No. 8°, manifestó:</w:t>
      </w:r>
    </w:p>
    <w:p w:rsidR="006D3B09" w:rsidRPr="006D3B09" w:rsidRDefault="006D3B09" w:rsidP="006D3B09">
      <w:pPr>
        <w:pStyle w:val="Textoindependiente"/>
        <w:ind w:left="708"/>
        <w:rPr>
          <w:rFonts w:ascii="Bookman Old Style" w:hAnsi="Bookman Old Style" w:cs="Arial"/>
          <w:szCs w:val="28"/>
        </w:rPr>
      </w:pPr>
    </w:p>
    <w:p w:rsidR="006D3B09" w:rsidRDefault="006D3B09" w:rsidP="006D3B09">
      <w:pPr>
        <w:pStyle w:val="Textoindependiente"/>
        <w:ind w:left="708"/>
        <w:rPr>
          <w:rFonts w:ascii="Bookman Old Style" w:hAnsi="Bookman Old Style" w:cs="Arial"/>
          <w:i/>
          <w:sz w:val="24"/>
          <w:szCs w:val="24"/>
        </w:rPr>
      </w:pPr>
      <w:r>
        <w:rPr>
          <w:rFonts w:ascii="Bookman Old Style" w:hAnsi="Bookman Old Style" w:cs="Arial"/>
          <w:i/>
          <w:sz w:val="24"/>
          <w:szCs w:val="24"/>
        </w:rPr>
        <w:t xml:space="preserve">«Al señor Juez Promiscuo del Circuito de Paz de Ariporo, dentro de cada proceso, se le ha solicitado el cumplimiento de sus deberes como juez  (art. 37 C.P.C.) así como el acatamiento del precepto  legal transcrito en el anterior numeral, sin que haya obrado en conformidad». </w:t>
      </w:r>
    </w:p>
    <w:p w:rsidR="006D3B09" w:rsidRDefault="006D3B09" w:rsidP="006D3B09">
      <w:pPr>
        <w:pStyle w:val="Textoindependiente"/>
        <w:ind w:left="708"/>
        <w:rPr>
          <w:rFonts w:ascii="Bookman Old Style" w:hAnsi="Bookman Old Style" w:cs="Arial"/>
          <w:szCs w:val="28"/>
        </w:rPr>
      </w:pPr>
      <w:r w:rsidRPr="006D3B09">
        <w:rPr>
          <w:rFonts w:ascii="Bookman Old Style" w:hAnsi="Bookman Old Style" w:cs="Arial"/>
          <w:szCs w:val="28"/>
        </w:rPr>
        <w:lastRenderedPageBreak/>
        <w:t xml:space="preserve">Finaliza su queja en los siguientes términos: </w:t>
      </w:r>
    </w:p>
    <w:p w:rsidR="006D3B09" w:rsidRPr="006D3B09" w:rsidRDefault="006D3B09" w:rsidP="006D3B09">
      <w:pPr>
        <w:pStyle w:val="Textoindependiente"/>
        <w:ind w:left="708"/>
        <w:rPr>
          <w:rFonts w:ascii="Bookman Old Style" w:hAnsi="Bookman Old Style" w:cs="Arial"/>
          <w:szCs w:val="28"/>
        </w:rPr>
      </w:pPr>
    </w:p>
    <w:p w:rsidR="004375D6" w:rsidRDefault="004375D6" w:rsidP="00433227">
      <w:pPr>
        <w:pStyle w:val="Textoindependiente"/>
        <w:ind w:left="708"/>
        <w:rPr>
          <w:rFonts w:ascii="Bookman Old Style" w:hAnsi="Bookman Old Style" w:cs="Arial"/>
          <w:szCs w:val="28"/>
        </w:rPr>
      </w:pPr>
      <w:r>
        <w:rPr>
          <w:rFonts w:ascii="Bookman Old Style" w:hAnsi="Bookman Old Style" w:cs="Arial"/>
          <w:szCs w:val="28"/>
        </w:rPr>
        <w:t>«</w:t>
      </w:r>
      <w:r w:rsidR="00433227">
        <w:rPr>
          <w:rFonts w:ascii="Bookman Old Style" w:hAnsi="Bookman Old Style" w:cs="Arial"/>
          <w:i/>
          <w:sz w:val="24"/>
          <w:szCs w:val="24"/>
        </w:rPr>
        <w:t>Contextualizando, ante el incumplimiento de los deberes propios del JUEZ PROMISCUO DEL CIRCUITO DE PAZ DE ARIPORO, en cuanto no ha velado por la rápida solución, por el contrario ha auspiciado la paralización de los asuntos, resultando ininteligible la actuación  del operador judicial, se advierten deficiencias de gestión y en la celeridad de los procesos razón por la cual se solicita de esa corporación el concepto previo, establecido como requisito, para solicitar el cambio de radicación ante la Sala de Casación Civil de la Honorable Corte Suprema de Justicia</w:t>
      </w:r>
      <w:r>
        <w:rPr>
          <w:rFonts w:ascii="Bookman Old Style" w:hAnsi="Bookman Old Style" w:cs="Arial"/>
          <w:i/>
          <w:sz w:val="24"/>
          <w:szCs w:val="24"/>
        </w:rPr>
        <w:t xml:space="preserve">» </w:t>
      </w:r>
      <w:r>
        <w:rPr>
          <w:rFonts w:ascii="Bookman Old Style" w:hAnsi="Bookman Old Style" w:cs="Arial"/>
          <w:szCs w:val="28"/>
        </w:rPr>
        <w:t>(folio 1</w:t>
      </w:r>
      <w:r w:rsidR="00433227">
        <w:rPr>
          <w:rFonts w:ascii="Bookman Old Style" w:hAnsi="Bookman Old Style" w:cs="Arial"/>
          <w:szCs w:val="28"/>
        </w:rPr>
        <w:t>3</w:t>
      </w:r>
      <w:r>
        <w:rPr>
          <w:rFonts w:ascii="Bookman Old Style" w:hAnsi="Bookman Old Style" w:cs="Arial"/>
          <w:szCs w:val="28"/>
        </w:rPr>
        <w:t>).</w:t>
      </w:r>
    </w:p>
    <w:p w:rsidR="004375D6" w:rsidRDefault="004375D6" w:rsidP="004375D6">
      <w:pPr>
        <w:pStyle w:val="Textoindependiente"/>
        <w:ind w:firstLine="708"/>
        <w:rPr>
          <w:rFonts w:ascii="Bookman Old Style" w:hAnsi="Bookman Old Style" w:cs="Arial"/>
          <w:szCs w:val="28"/>
        </w:rPr>
      </w:pPr>
    </w:p>
    <w:p w:rsidR="004375D6" w:rsidRDefault="007D5EF7" w:rsidP="004375D6">
      <w:pPr>
        <w:pStyle w:val="Textoindependiente"/>
        <w:ind w:firstLine="708"/>
        <w:rPr>
          <w:rFonts w:ascii="Bookman Old Style" w:hAnsi="Bookman Old Style" w:cs="Arial"/>
          <w:szCs w:val="28"/>
        </w:rPr>
      </w:pPr>
      <w:r>
        <w:rPr>
          <w:rFonts w:ascii="Bookman Old Style" w:hAnsi="Bookman Old Style" w:cs="Arial"/>
          <w:szCs w:val="28"/>
        </w:rPr>
        <w:t>Al escrito se adjuntó, en copia informal, la respuesta que el Consejo Superior de la Judicatura brindó una vez se le solicitó el concepto previo, referido líneas atrás.</w:t>
      </w:r>
    </w:p>
    <w:p w:rsidR="004375D6" w:rsidRPr="004A24EE" w:rsidRDefault="004375D6" w:rsidP="004375D6">
      <w:pPr>
        <w:pStyle w:val="Textoindependiente"/>
        <w:ind w:firstLine="708"/>
        <w:rPr>
          <w:rFonts w:ascii="Bookman Old Style" w:hAnsi="Bookman Old Style" w:cs="Arial"/>
          <w:szCs w:val="28"/>
        </w:rPr>
      </w:pPr>
    </w:p>
    <w:p w:rsidR="004375D6" w:rsidRDefault="004375D6" w:rsidP="004375D6">
      <w:pPr>
        <w:pStyle w:val="Textoindependiente"/>
        <w:ind w:firstLine="708"/>
        <w:rPr>
          <w:rFonts w:ascii="Bookman Old Style" w:hAnsi="Bookman Old Style" w:cs="Arial"/>
          <w:b/>
          <w:szCs w:val="28"/>
        </w:rPr>
      </w:pPr>
      <w:r>
        <w:rPr>
          <w:rFonts w:ascii="Bookman Old Style" w:hAnsi="Bookman Old Style" w:cs="Arial"/>
          <w:b/>
          <w:szCs w:val="28"/>
        </w:rPr>
        <w:t>2º. La actuación cumplida</w:t>
      </w:r>
    </w:p>
    <w:p w:rsidR="007D5EF7" w:rsidRDefault="007D5EF7" w:rsidP="004375D6">
      <w:pPr>
        <w:pStyle w:val="Textoindependiente"/>
        <w:rPr>
          <w:rFonts w:ascii="Bookman Old Style" w:hAnsi="Bookman Old Style" w:cs="Arial"/>
          <w:szCs w:val="28"/>
        </w:rPr>
      </w:pPr>
    </w:p>
    <w:p w:rsidR="004375D6" w:rsidRDefault="007D5EF7" w:rsidP="007D5EF7">
      <w:pPr>
        <w:pStyle w:val="Textoindependiente"/>
        <w:ind w:firstLine="708"/>
        <w:rPr>
          <w:rFonts w:ascii="Bookman Old Style" w:hAnsi="Bookman Old Style" w:cs="Arial"/>
          <w:szCs w:val="28"/>
        </w:rPr>
      </w:pPr>
      <w:r>
        <w:rPr>
          <w:rFonts w:ascii="Bookman Old Style" w:hAnsi="Bookman Old Style" w:cs="Arial"/>
          <w:szCs w:val="28"/>
        </w:rPr>
        <w:t xml:space="preserve">La suscrita Magistrada, </w:t>
      </w:r>
      <w:r w:rsidR="004375D6">
        <w:rPr>
          <w:rFonts w:ascii="Bookman Old Style" w:hAnsi="Bookman Old Style" w:cs="Arial"/>
          <w:szCs w:val="28"/>
        </w:rPr>
        <w:t>a través de la providencia de die</w:t>
      </w:r>
      <w:r>
        <w:rPr>
          <w:rFonts w:ascii="Bookman Old Style" w:hAnsi="Bookman Old Style" w:cs="Arial"/>
          <w:szCs w:val="28"/>
        </w:rPr>
        <w:t>z</w:t>
      </w:r>
      <w:r w:rsidR="004375D6">
        <w:rPr>
          <w:rFonts w:ascii="Bookman Old Style" w:hAnsi="Bookman Old Style" w:cs="Arial"/>
          <w:szCs w:val="28"/>
        </w:rPr>
        <w:t xml:space="preserve"> (1</w:t>
      </w:r>
      <w:r>
        <w:rPr>
          <w:rFonts w:ascii="Bookman Old Style" w:hAnsi="Bookman Old Style" w:cs="Arial"/>
          <w:szCs w:val="28"/>
        </w:rPr>
        <w:t>0</w:t>
      </w:r>
      <w:r w:rsidR="004375D6">
        <w:rPr>
          <w:rFonts w:ascii="Bookman Old Style" w:hAnsi="Bookman Old Style" w:cs="Arial"/>
          <w:szCs w:val="28"/>
        </w:rPr>
        <w:t xml:space="preserve">) de </w:t>
      </w:r>
      <w:r>
        <w:rPr>
          <w:rFonts w:ascii="Bookman Old Style" w:hAnsi="Bookman Old Style" w:cs="Arial"/>
          <w:szCs w:val="28"/>
        </w:rPr>
        <w:t>noviembre</w:t>
      </w:r>
      <w:r w:rsidR="004375D6">
        <w:rPr>
          <w:rFonts w:ascii="Bookman Old Style" w:hAnsi="Bookman Old Style" w:cs="Arial"/>
          <w:szCs w:val="28"/>
        </w:rPr>
        <w:t xml:space="preserve"> del año</w:t>
      </w:r>
      <w:r>
        <w:rPr>
          <w:rFonts w:ascii="Bookman Old Style" w:hAnsi="Bookman Old Style" w:cs="Arial"/>
          <w:szCs w:val="28"/>
        </w:rPr>
        <w:t xml:space="preserve"> que transcurrió</w:t>
      </w:r>
      <w:r w:rsidR="004375D6">
        <w:rPr>
          <w:rFonts w:ascii="Bookman Old Style" w:hAnsi="Bookman Old Style" w:cs="Arial"/>
          <w:szCs w:val="28"/>
        </w:rPr>
        <w:t xml:space="preserve">, dispuso dar información a los interesados sobre el inicio de este trámite, determinación que fue cumplida por parte de la Secretaría, como así quedó plasmado en el informe obrante en folio </w:t>
      </w:r>
      <w:r>
        <w:rPr>
          <w:rFonts w:ascii="Bookman Old Style" w:hAnsi="Bookman Old Style" w:cs="Arial"/>
          <w:szCs w:val="28"/>
        </w:rPr>
        <w:t>27</w:t>
      </w:r>
      <w:r w:rsidR="004375D6">
        <w:rPr>
          <w:rFonts w:ascii="Bookman Old Style" w:hAnsi="Bookman Old Style" w:cs="Arial"/>
          <w:szCs w:val="28"/>
        </w:rPr>
        <w:t xml:space="preserve">. </w:t>
      </w:r>
    </w:p>
    <w:p w:rsidR="004375D6" w:rsidRDefault="004375D6" w:rsidP="004375D6">
      <w:pPr>
        <w:pStyle w:val="Textoindependiente"/>
        <w:rPr>
          <w:rFonts w:ascii="Bookman Old Style" w:hAnsi="Bookman Old Style" w:cs="Arial"/>
          <w:szCs w:val="28"/>
        </w:rPr>
      </w:pPr>
    </w:p>
    <w:p w:rsidR="007D5EF7" w:rsidRDefault="007D5EF7" w:rsidP="004375D6">
      <w:pPr>
        <w:pStyle w:val="Textoindependiente"/>
        <w:rPr>
          <w:rFonts w:ascii="Bookman Old Style" w:hAnsi="Bookman Old Style" w:cs="Arial"/>
          <w:szCs w:val="28"/>
        </w:rPr>
      </w:pPr>
      <w:r>
        <w:rPr>
          <w:rFonts w:ascii="Bookman Old Style" w:hAnsi="Bookman Old Style" w:cs="Arial"/>
          <w:szCs w:val="28"/>
        </w:rPr>
        <w:tab/>
        <w:t xml:space="preserve">Encontrándose el expediente al Despacho para resolver el asunto, el IGAC allegó, en dos folios, información relativa a su papel dentro del proceso objeto del cambio solicitado. </w:t>
      </w:r>
    </w:p>
    <w:p w:rsidR="007D5EF7" w:rsidRPr="00143A17" w:rsidRDefault="007D5EF7" w:rsidP="004375D6">
      <w:pPr>
        <w:pStyle w:val="Textoindependiente"/>
        <w:rPr>
          <w:rFonts w:ascii="Bookman Old Style" w:hAnsi="Bookman Old Style" w:cs="Arial"/>
          <w:szCs w:val="28"/>
        </w:rPr>
      </w:pPr>
    </w:p>
    <w:p w:rsidR="004375D6" w:rsidRPr="00144D89" w:rsidRDefault="004375D6" w:rsidP="004375D6">
      <w:pPr>
        <w:pStyle w:val="Textoindependiente"/>
        <w:ind w:firstLine="1418"/>
        <w:jc w:val="center"/>
        <w:rPr>
          <w:rFonts w:ascii="Bookman Old Style" w:hAnsi="Bookman Old Style" w:cs="Arial"/>
          <w:b/>
          <w:szCs w:val="28"/>
        </w:rPr>
      </w:pPr>
    </w:p>
    <w:p w:rsidR="004375D6" w:rsidRPr="00144D89" w:rsidRDefault="004375D6" w:rsidP="004375D6">
      <w:pPr>
        <w:pStyle w:val="Textoindependiente"/>
        <w:jc w:val="center"/>
        <w:rPr>
          <w:rFonts w:ascii="Bookman Old Style" w:hAnsi="Bookman Old Style" w:cs="Arial"/>
          <w:b/>
          <w:szCs w:val="28"/>
        </w:rPr>
      </w:pPr>
      <w:r w:rsidRPr="00144D89">
        <w:rPr>
          <w:rFonts w:ascii="Bookman Old Style" w:hAnsi="Bookman Old Style" w:cs="Arial"/>
          <w:b/>
          <w:szCs w:val="28"/>
        </w:rPr>
        <w:t>II</w:t>
      </w:r>
      <w:r>
        <w:rPr>
          <w:rFonts w:ascii="Bookman Old Style" w:hAnsi="Bookman Old Style" w:cs="Arial"/>
          <w:b/>
          <w:szCs w:val="28"/>
        </w:rPr>
        <w:t>.</w:t>
      </w:r>
      <w:r w:rsidRPr="00144D89">
        <w:rPr>
          <w:rFonts w:ascii="Bookman Old Style" w:hAnsi="Bookman Old Style" w:cs="Arial"/>
          <w:b/>
          <w:szCs w:val="28"/>
        </w:rPr>
        <w:t xml:space="preserve"> CONSIDERACIONES</w:t>
      </w:r>
    </w:p>
    <w:p w:rsidR="004375D6" w:rsidRDefault="004375D6" w:rsidP="004375D6">
      <w:pPr>
        <w:ind w:firstLine="708"/>
        <w:rPr>
          <w:lang w:val="es-ES"/>
        </w:rPr>
      </w:pPr>
    </w:p>
    <w:p w:rsidR="007D5EF7" w:rsidRDefault="004375D6" w:rsidP="004375D6">
      <w:pPr>
        <w:ind w:firstLine="708"/>
        <w:jc w:val="both"/>
      </w:pPr>
      <w:r>
        <w:rPr>
          <w:lang w:val="es-ES"/>
        </w:rPr>
        <w:lastRenderedPageBreak/>
        <w:t>1. Cumple decir</w:t>
      </w:r>
      <w:r w:rsidR="007D5EF7">
        <w:rPr>
          <w:lang w:val="es-ES"/>
        </w:rPr>
        <w:t xml:space="preserve">, primeramente, </w:t>
      </w:r>
      <w:r>
        <w:rPr>
          <w:lang w:val="es-ES"/>
        </w:rPr>
        <w:t xml:space="preserve">que </w:t>
      </w:r>
      <w:r w:rsidR="007D5EF7">
        <w:rPr>
          <w:lang w:val="es-ES"/>
        </w:rPr>
        <w:t xml:space="preserve">por mandato </w:t>
      </w:r>
      <w:r>
        <w:rPr>
          <w:lang w:val="es-ES"/>
        </w:rPr>
        <w:t xml:space="preserve">del </w:t>
      </w:r>
      <w:r w:rsidRPr="006D1F63">
        <w:t xml:space="preserve">numeral 8º </w:t>
      </w:r>
      <w:r>
        <w:t>del artículo 30 de la Ley 15</w:t>
      </w:r>
      <w:r w:rsidRPr="006D1F63">
        <w:t>6</w:t>
      </w:r>
      <w:r>
        <w:t>4</w:t>
      </w:r>
      <w:r w:rsidRPr="006D1F63">
        <w:t xml:space="preserve"> de 2012, o Código General del Proceso</w:t>
      </w:r>
      <w:r>
        <w:t>, l</w:t>
      </w:r>
      <w:r>
        <w:rPr>
          <w:lang w:val="es-ES"/>
        </w:rPr>
        <w:t xml:space="preserve">a resolución del presente asunto </w:t>
      </w:r>
      <w:r>
        <w:t xml:space="preserve">está </w:t>
      </w:r>
      <w:r w:rsidRPr="006D1F63">
        <w:t xml:space="preserve"> atribuida a la Corte Suprema de Justicia</w:t>
      </w:r>
      <w:r>
        <w:t xml:space="preserve">, teniendo en cuenta que el cambio de radicación a que refiere el peticionario del mismo, </w:t>
      </w:r>
      <w:r w:rsidR="007D5EF7">
        <w:t>involucra a diferentes distritos judiciales</w:t>
      </w:r>
      <w:r>
        <w:t xml:space="preserve">. </w:t>
      </w:r>
    </w:p>
    <w:p w:rsidR="007D5EF7" w:rsidRDefault="007D5EF7" w:rsidP="004375D6">
      <w:pPr>
        <w:ind w:firstLine="708"/>
        <w:jc w:val="both"/>
      </w:pPr>
    </w:p>
    <w:p w:rsidR="004375D6" w:rsidRPr="006D1F63" w:rsidRDefault="004375D6" w:rsidP="004375D6">
      <w:pPr>
        <w:ind w:firstLine="708"/>
        <w:jc w:val="both"/>
      </w:pPr>
      <w:r>
        <w:t xml:space="preserve">Además, </w:t>
      </w:r>
      <w:r w:rsidR="007D5EF7">
        <w:t>atendiendo l</w:t>
      </w:r>
      <w:r>
        <w:t>a</w:t>
      </w:r>
      <w:r w:rsidR="00535651">
        <w:t xml:space="preserve"> regulación </w:t>
      </w:r>
      <w:r>
        <w:t>de</w:t>
      </w:r>
      <w:r w:rsidRPr="006D1F63">
        <w:t>l artículo 29 del Código de Procedimiento Civil,</w:t>
      </w:r>
      <w:r w:rsidR="00535651">
        <w:t xml:space="preserve"> modificado por el 35 del General del Proceso, </w:t>
      </w:r>
      <w:r>
        <w:t xml:space="preserve">la decisión pertinente le compete </w:t>
      </w:r>
      <w:r w:rsidRPr="006D1F63">
        <w:t>adopta</w:t>
      </w:r>
      <w:r>
        <w:t>rla</w:t>
      </w:r>
      <w:r w:rsidRPr="006D1F63">
        <w:t xml:space="preserve">, </w:t>
      </w:r>
      <w:r>
        <w:t>únicamente</w:t>
      </w:r>
      <w:r w:rsidRPr="006D1F63">
        <w:t>,</w:t>
      </w:r>
      <w:r>
        <w:t xml:space="preserve"> a</w:t>
      </w:r>
      <w:r w:rsidRPr="006D1F63">
        <w:t xml:space="preserve"> la Magistrada ponente. </w:t>
      </w:r>
    </w:p>
    <w:p w:rsidR="004375D6" w:rsidRPr="006D1F63" w:rsidRDefault="004375D6" w:rsidP="004375D6">
      <w:pPr>
        <w:jc w:val="both"/>
      </w:pPr>
    </w:p>
    <w:p w:rsidR="002F20D3" w:rsidRDefault="004375D6" w:rsidP="002F20D3">
      <w:pPr>
        <w:ind w:firstLine="708"/>
        <w:jc w:val="both"/>
      </w:pPr>
      <w:r w:rsidRPr="006D1F63">
        <w:t xml:space="preserve">2. </w:t>
      </w:r>
      <w:r w:rsidR="002F20D3">
        <w:t xml:space="preserve">En cuanto a la solicitud formulada, </w:t>
      </w:r>
      <w:r w:rsidR="00486608">
        <w:t xml:space="preserve">como fue advertido en precedencia, </w:t>
      </w:r>
      <w:r w:rsidR="002F20D3">
        <w:t xml:space="preserve">su proponente invocó el inciso 3º del numeral 8º del artículo 30 del C. G. del P., cuyo texto es del siguiente tenor: </w:t>
      </w:r>
    </w:p>
    <w:p w:rsidR="002F20D3" w:rsidRDefault="002F20D3" w:rsidP="002F20D3">
      <w:pPr>
        <w:ind w:firstLine="708"/>
        <w:jc w:val="both"/>
      </w:pPr>
    </w:p>
    <w:p w:rsidR="002F20D3" w:rsidRPr="00F445E0" w:rsidRDefault="002F20D3" w:rsidP="002F20D3">
      <w:pPr>
        <w:ind w:left="708"/>
        <w:jc w:val="both"/>
        <w:rPr>
          <w:i/>
          <w:sz w:val="24"/>
          <w:szCs w:val="24"/>
        </w:rPr>
      </w:pPr>
      <w:r>
        <w:rPr>
          <w:i/>
          <w:sz w:val="24"/>
          <w:szCs w:val="24"/>
        </w:rPr>
        <w:t xml:space="preserve">«El cambio de radicación se podrá disponer excepcionalmente cuando  </w:t>
      </w:r>
      <w:r w:rsidRPr="00426161">
        <w:t>(….)</w:t>
      </w:r>
      <w:r>
        <w:rPr>
          <w:i/>
          <w:sz w:val="24"/>
          <w:szCs w:val="24"/>
        </w:rPr>
        <w:t>. Adicionalmente, podrá ordenarse el cambio de radicación cuando se adviertan deficiencias de gestión y celeridad de los procesos, previo concepto de la Sala Administrativa del Consejo Superior de la Judicatura».</w:t>
      </w:r>
    </w:p>
    <w:p w:rsidR="002F20D3" w:rsidRDefault="002F20D3" w:rsidP="004375D6">
      <w:pPr>
        <w:ind w:firstLine="708"/>
        <w:jc w:val="both"/>
      </w:pPr>
    </w:p>
    <w:p w:rsidR="00535651" w:rsidRDefault="002F20D3" w:rsidP="004375D6">
      <w:pPr>
        <w:ind w:firstLine="708"/>
        <w:jc w:val="both"/>
      </w:pPr>
      <w:r>
        <w:t xml:space="preserve">3. </w:t>
      </w:r>
      <w:r w:rsidR="00A84F2F">
        <w:t>L</w:t>
      </w:r>
      <w:r w:rsidR="00535651">
        <w:t xml:space="preserve">a </w:t>
      </w:r>
      <w:r w:rsidR="00486608">
        <w:t xml:space="preserve">petición elevada </w:t>
      </w:r>
      <w:r w:rsidR="00535651">
        <w:t xml:space="preserve">será adversa a </w:t>
      </w:r>
      <w:r w:rsidR="00486608">
        <w:t>los</w:t>
      </w:r>
      <w:r w:rsidR="00535651">
        <w:t xml:space="preserve"> intereses</w:t>
      </w:r>
      <w:r w:rsidR="00486608">
        <w:t xml:space="preserve"> de su promotor</w:t>
      </w:r>
      <w:r w:rsidR="00535651">
        <w:t xml:space="preserve">, por las siguientes razones: </w:t>
      </w:r>
    </w:p>
    <w:p w:rsidR="00535651" w:rsidRDefault="00535651" w:rsidP="004375D6">
      <w:pPr>
        <w:ind w:firstLine="708"/>
        <w:jc w:val="both"/>
      </w:pPr>
    </w:p>
    <w:p w:rsidR="00F40C7F" w:rsidRDefault="00486608" w:rsidP="004375D6">
      <w:pPr>
        <w:ind w:firstLine="708"/>
        <w:jc w:val="both"/>
      </w:pPr>
      <w:r>
        <w:t>3</w:t>
      </w:r>
      <w:r w:rsidR="002F20D3">
        <w:t>.1. E</w:t>
      </w:r>
      <w:r w:rsidR="00535651">
        <w:t>n el auto de diez (10) de noviembre del año pasado (folios 18 a 21),  al profesional del derecho que suscribió el respectivo escrito</w:t>
      </w:r>
      <w:r w:rsidR="00F40C7F">
        <w:t>,</w:t>
      </w:r>
      <w:r w:rsidR="00426161">
        <w:t xml:space="preserve"> se le solicitó</w:t>
      </w:r>
      <w:r w:rsidR="002F20D3">
        <w:t>, de un lado,</w:t>
      </w:r>
      <w:r w:rsidR="00535651">
        <w:t xml:space="preserve"> que </w:t>
      </w:r>
      <w:r w:rsidR="00102937">
        <w:t xml:space="preserve">acreditara  su condición de apoderado, habida cuenta que estaba gestionando </w:t>
      </w:r>
      <w:r w:rsidR="00102937">
        <w:lastRenderedPageBreak/>
        <w:t>intereses ajenos</w:t>
      </w:r>
      <w:r>
        <w:t xml:space="preserve"> y no concurría un caso de agencia oficiosa prevista en el artículo 57 </w:t>
      </w:r>
      <w:r>
        <w:rPr>
          <w:i/>
        </w:rPr>
        <w:t>ibí</w:t>
      </w:r>
      <w:r w:rsidRPr="00486608">
        <w:rPr>
          <w:i/>
        </w:rPr>
        <w:t>dem</w:t>
      </w:r>
      <w:r w:rsidR="00102937">
        <w:t xml:space="preserve">. </w:t>
      </w:r>
      <w:r w:rsidR="002F20D3">
        <w:t>De otro, que</w:t>
      </w:r>
      <w:r w:rsidR="00102937">
        <w:t xml:space="preserve"> a</w:t>
      </w:r>
      <w:r w:rsidR="00426161">
        <w:t>llegar</w:t>
      </w:r>
      <w:r w:rsidR="002F20D3">
        <w:t>a</w:t>
      </w:r>
      <w:r w:rsidR="00426161">
        <w:t xml:space="preserve"> </w:t>
      </w:r>
      <w:r w:rsidR="002F20D3">
        <w:t>los</w:t>
      </w:r>
      <w:r w:rsidR="00426161">
        <w:t xml:space="preserve"> documentos</w:t>
      </w:r>
      <w:r w:rsidR="00F40C7F" w:rsidRPr="00F40C7F">
        <w:t xml:space="preserve"> </w:t>
      </w:r>
      <w:r>
        <w:t xml:space="preserve">por él </w:t>
      </w:r>
      <w:r w:rsidR="002F20D3">
        <w:t>referidos</w:t>
      </w:r>
      <w:r w:rsidR="00426161">
        <w:t xml:space="preserve"> (numeral 2° de la parte resolutiva)</w:t>
      </w:r>
      <w:r w:rsidR="002F20D3">
        <w:t>.</w:t>
      </w:r>
    </w:p>
    <w:p w:rsidR="002F20D3" w:rsidRDefault="002F20D3" w:rsidP="004375D6">
      <w:pPr>
        <w:ind w:firstLine="708"/>
        <w:jc w:val="both"/>
      </w:pPr>
      <w:bookmarkStart w:id="0" w:name="_GoBack"/>
      <w:bookmarkEnd w:id="0"/>
    </w:p>
    <w:p w:rsidR="002F20D3" w:rsidRDefault="00486608" w:rsidP="004375D6">
      <w:pPr>
        <w:ind w:firstLine="708"/>
        <w:jc w:val="both"/>
      </w:pPr>
      <w:r>
        <w:t>Sin embargo, n</w:t>
      </w:r>
      <w:r w:rsidR="002F20D3">
        <w:t xml:space="preserve">i lo uno ni lo otro </w:t>
      </w:r>
      <w:r w:rsidR="00426161">
        <w:t xml:space="preserve">fue atendido, </w:t>
      </w:r>
      <w:r w:rsidR="002F20D3">
        <w:t xml:space="preserve">circunstancia que por sí sola sería suficiente para negar la </w:t>
      </w:r>
      <w:r>
        <w:t>súplica</w:t>
      </w:r>
      <w:r w:rsidR="002F20D3">
        <w:t xml:space="preserve"> formulada. </w:t>
      </w:r>
    </w:p>
    <w:p w:rsidR="002F20D3" w:rsidRDefault="002F20D3" w:rsidP="004375D6">
      <w:pPr>
        <w:ind w:firstLine="708"/>
        <w:jc w:val="both"/>
      </w:pPr>
    </w:p>
    <w:p w:rsidR="00535651" w:rsidRDefault="00486608" w:rsidP="004375D6">
      <w:pPr>
        <w:ind w:firstLine="708"/>
        <w:jc w:val="both"/>
      </w:pPr>
      <w:r>
        <w:t>3</w:t>
      </w:r>
      <w:r w:rsidR="002F20D3">
        <w:t xml:space="preserve">.2. </w:t>
      </w:r>
      <w:r>
        <w:t>Empero, a</w:t>
      </w:r>
      <w:r w:rsidR="002F20D3">
        <w:t xml:space="preserve">l margen de esa situación, </w:t>
      </w:r>
      <w:r>
        <w:t xml:space="preserve">el hecho de </w:t>
      </w:r>
      <w:r w:rsidR="002F20D3">
        <w:t xml:space="preserve">no </w:t>
      </w:r>
      <w:r>
        <w:t xml:space="preserve">haberse </w:t>
      </w:r>
      <w:r w:rsidR="002F20D3">
        <w:t>acata</w:t>
      </w:r>
      <w:r>
        <w:t>do</w:t>
      </w:r>
      <w:r w:rsidR="002F20D3">
        <w:t xml:space="preserve"> lo dispuesto por el </w:t>
      </w:r>
      <w:r w:rsidR="00426161">
        <w:t>Despacho</w:t>
      </w:r>
      <w:r w:rsidR="002F20D3">
        <w:t>,</w:t>
      </w:r>
      <w:r w:rsidR="00426161">
        <w:t xml:space="preserve"> </w:t>
      </w:r>
      <w:r>
        <w:t>trajo consigo que e</w:t>
      </w:r>
      <w:r w:rsidR="002F20D3">
        <w:t xml:space="preserve">l presente asunto </w:t>
      </w:r>
      <w:r>
        <w:t xml:space="preserve">quedara </w:t>
      </w:r>
      <w:r w:rsidR="00426161">
        <w:t>desprovisto de importantes elementos para sopesar la magnitud de la queja o el desempeño del juez acusado.</w:t>
      </w:r>
    </w:p>
    <w:p w:rsidR="00535651" w:rsidRDefault="00535651" w:rsidP="004375D6">
      <w:pPr>
        <w:ind w:firstLine="708"/>
        <w:jc w:val="both"/>
      </w:pPr>
    </w:p>
    <w:p w:rsidR="00426161" w:rsidRDefault="00486608" w:rsidP="004375D6">
      <w:pPr>
        <w:ind w:firstLine="708"/>
        <w:jc w:val="both"/>
      </w:pPr>
      <w:r>
        <w:t>3</w:t>
      </w:r>
      <w:r w:rsidR="00426161">
        <w:t>.</w:t>
      </w:r>
      <w:r w:rsidR="002F20D3">
        <w:t>3</w:t>
      </w:r>
      <w:r w:rsidR="00426161">
        <w:t>. Lo anterior se hace más evidente</w:t>
      </w:r>
      <w:r>
        <w:t xml:space="preserve"> si se tiene en cuenta que el cambio de radicación </w:t>
      </w:r>
      <w:r w:rsidR="00426161">
        <w:t>tiene como fundamento</w:t>
      </w:r>
      <w:r>
        <w:t>, precisamente,</w:t>
      </w:r>
      <w:r w:rsidR="00426161">
        <w:t xml:space="preserve"> la deficiente actuación del funcionario judicial;</w:t>
      </w:r>
      <w:r>
        <w:t xml:space="preserve"> así como</w:t>
      </w:r>
      <w:r w:rsidR="00426161">
        <w:t xml:space="preserve"> </w:t>
      </w:r>
      <w:r w:rsidR="00217E3E">
        <w:t>el</w:t>
      </w:r>
      <w:r w:rsidR="00426161">
        <w:t xml:space="preserve"> desconocimiento permanente  de los términos previstos en la ley para la ejecución de cada etapa procesal</w:t>
      </w:r>
      <w:r w:rsidR="00F40C7F">
        <w:t>, traduciéndose en una resolución tardía de la controversia.</w:t>
      </w:r>
      <w:r w:rsidR="00426161">
        <w:t xml:space="preserve"> </w:t>
      </w:r>
    </w:p>
    <w:p w:rsidR="00426161" w:rsidRDefault="00426161" w:rsidP="004375D6">
      <w:pPr>
        <w:ind w:firstLine="708"/>
        <w:jc w:val="both"/>
      </w:pPr>
    </w:p>
    <w:p w:rsidR="004375D6" w:rsidRDefault="00486608" w:rsidP="004375D6">
      <w:pPr>
        <w:ind w:firstLine="708"/>
        <w:jc w:val="both"/>
      </w:pPr>
      <w:r>
        <w:t>4</w:t>
      </w:r>
      <w:r w:rsidR="002F20D3">
        <w:t xml:space="preserve">. </w:t>
      </w:r>
      <w:r w:rsidR="00426161">
        <w:t>E</w:t>
      </w:r>
      <w:r w:rsidR="004375D6">
        <w:t xml:space="preserve">stas últimas circunstancias (ambas) fueron las invocadas por el gestor del cambio de radicación para viabilizar su pedimento, es decir: </w:t>
      </w:r>
      <w:r w:rsidR="004375D6" w:rsidRPr="004C7DB1">
        <w:rPr>
          <w:sz w:val="24"/>
          <w:szCs w:val="24"/>
        </w:rPr>
        <w:t>i)</w:t>
      </w:r>
      <w:r w:rsidR="004375D6">
        <w:rPr>
          <w:i/>
          <w:sz w:val="24"/>
          <w:szCs w:val="24"/>
        </w:rPr>
        <w:t xml:space="preserve"> cuando se adviertan deficiencias de gestión;  y, </w:t>
      </w:r>
      <w:r w:rsidR="004375D6">
        <w:rPr>
          <w:sz w:val="24"/>
          <w:szCs w:val="24"/>
        </w:rPr>
        <w:t xml:space="preserve">ii) </w:t>
      </w:r>
      <w:r w:rsidR="004375D6">
        <w:rPr>
          <w:i/>
          <w:sz w:val="24"/>
          <w:szCs w:val="24"/>
        </w:rPr>
        <w:t xml:space="preserve"> se vea afectada la celeridad de los procesos. </w:t>
      </w:r>
    </w:p>
    <w:p w:rsidR="004375D6" w:rsidRDefault="004375D6" w:rsidP="004375D6">
      <w:pPr>
        <w:ind w:firstLine="708"/>
        <w:jc w:val="both"/>
      </w:pPr>
    </w:p>
    <w:p w:rsidR="00426161" w:rsidRDefault="00426161" w:rsidP="004375D6">
      <w:pPr>
        <w:ind w:firstLine="708"/>
        <w:jc w:val="both"/>
      </w:pPr>
      <w:r>
        <w:t xml:space="preserve">Sin embargo, el promotor  no asumió la carga procesal que le correspondía como era acreditar las irregularidades que justificaban su pedimento; no hay, entonces, elementos para </w:t>
      </w:r>
      <w:r>
        <w:lastRenderedPageBreak/>
        <w:t>concluir si el juez se ha sustraído al cumplimiento de sus deberes.</w:t>
      </w:r>
    </w:p>
    <w:p w:rsidR="004375D6" w:rsidRDefault="004375D6" w:rsidP="004375D6">
      <w:pPr>
        <w:ind w:firstLine="708"/>
        <w:jc w:val="both"/>
      </w:pPr>
    </w:p>
    <w:p w:rsidR="004375D6" w:rsidRDefault="00F40C7F" w:rsidP="004375D6">
      <w:pPr>
        <w:ind w:firstLine="709"/>
        <w:jc w:val="both"/>
      </w:pPr>
      <w:r>
        <w:t xml:space="preserve">4. </w:t>
      </w:r>
      <w:r w:rsidR="00426161">
        <w:t xml:space="preserve">No puede pasarse por alto que </w:t>
      </w:r>
      <w:r>
        <w:t xml:space="preserve">la demora en el trámite de un determinado asunto  </w:t>
      </w:r>
      <w:r w:rsidRPr="00F40C7F">
        <w:rPr>
          <w:i/>
        </w:rPr>
        <w:t>per se</w:t>
      </w:r>
      <w:r>
        <w:t>, no resulta indicativa de una mala gestión. Por sabido s</w:t>
      </w:r>
      <w:r w:rsidR="00A84F2F">
        <w:t>e</w:t>
      </w:r>
      <w:r>
        <w:t xml:space="preserve"> tiene que e</w:t>
      </w:r>
      <w:r w:rsidR="004375D6">
        <w:t xml:space="preserve">xisten causas externas e internas alrededor de la Rama Judicial que afectan, decididamente, el </w:t>
      </w:r>
      <w:r>
        <w:t>impulso</w:t>
      </w:r>
      <w:r w:rsidR="004375D6">
        <w:t xml:space="preserve"> y </w:t>
      </w:r>
      <w:r>
        <w:t>definición</w:t>
      </w:r>
      <w:r w:rsidR="004375D6">
        <w:t xml:space="preserve"> de los diferentes conflictos.</w:t>
      </w:r>
      <w:r w:rsidR="00426161">
        <w:t xml:space="preserve"> La observancia plena e irrestricta de los términos señalados en la normatividad vigente, en variedad de oportunidades, no son del resorte exclusivo del funcionario judicial y, por tanto, las alteraciones que puedan presentarse, según las circunstancias, no le ser</w:t>
      </w:r>
      <w:r>
        <w:t>ía</w:t>
      </w:r>
      <w:r w:rsidR="00426161">
        <w:t xml:space="preserve">n atribuibles. </w:t>
      </w:r>
      <w:r>
        <w:t xml:space="preserve">De ahí que resultara indispensable que el memorialista se aviniera a la demostración de sus afirmaciones, asunto que no asumió como le correspondía. </w:t>
      </w:r>
    </w:p>
    <w:p w:rsidR="00F40C7F" w:rsidRDefault="00F40C7F" w:rsidP="004375D6">
      <w:pPr>
        <w:ind w:firstLine="709"/>
        <w:jc w:val="both"/>
      </w:pPr>
    </w:p>
    <w:p w:rsidR="00217E3E" w:rsidRDefault="00CD344B" w:rsidP="004375D6">
      <w:pPr>
        <w:ind w:firstLine="708"/>
        <w:jc w:val="both"/>
      </w:pPr>
      <w:r>
        <w:t>5</w:t>
      </w:r>
      <w:r w:rsidR="004375D6">
        <w:t xml:space="preserve">. En conclusión, no obstante lo denunciado, no se </w:t>
      </w:r>
      <w:r w:rsidR="00217E3E">
        <w:t>acreditó la condición con que actuaba el togado ni los</w:t>
      </w:r>
      <w:r w:rsidR="004375D6">
        <w:t xml:space="preserve"> motivos que justifiquen el cambio pretendido</w:t>
      </w:r>
      <w:r w:rsidR="00217E3E">
        <w:t>.</w:t>
      </w:r>
    </w:p>
    <w:p w:rsidR="004375D6" w:rsidRDefault="00217E3E" w:rsidP="004375D6">
      <w:pPr>
        <w:ind w:firstLine="708"/>
        <w:jc w:val="both"/>
      </w:pPr>
      <w:r>
        <w:t xml:space="preserve"> </w:t>
      </w:r>
    </w:p>
    <w:p w:rsidR="004375D6" w:rsidRDefault="004375D6" w:rsidP="004375D6">
      <w:pPr>
        <w:ind w:firstLine="708"/>
        <w:jc w:val="both"/>
      </w:pPr>
      <w:r>
        <w:t xml:space="preserve">Por lo expuesto, la Corte Suprema de Justicia, en Sala de Casación Civil, </w:t>
      </w:r>
      <w:r w:rsidRPr="00116405">
        <w:rPr>
          <w:b/>
        </w:rPr>
        <w:t>RESUELVE</w:t>
      </w:r>
      <w:r>
        <w:t>:</w:t>
      </w:r>
    </w:p>
    <w:p w:rsidR="004375D6" w:rsidRDefault="004375D6" w:rsidP="004375D6">
      <w:pPr>
        <w:ind w:firstLine="708"/>
        <w:jc w:val="both"/>
      </w:pPr>
    </w:p>
    <w:p w:rsidR="004375D6" w:rsidRDefault="004375D6" w:rsidP="004375D6">
      <w:pPr>
        <w:ind w:firstLine="708"/>
        <w:jc w:val="both"/>
      </w:pPr>
      <w:r>
        <w:t xml:space="preserve">1. Negar el cambio de radicación solicitado por la </w:t>
      </w:r>
      <w:r w:rsidR="007E0F08">
        <w:t xml:space="preserve">señora MARTHA LUCÍA </w:t>
      </w:r>
      <w:r w:rsidR="00F40C7F">
        <w:t>JIMENEZ QUIÑONEZ.</w:t>
      </w:r>
    </w:p>
    <w:p w:rsidR="00F40C7F" w:rsidRDefault="00F40C7F" w:rsidP="004375D6">
      <w:pPr>
        <w:ind w:firstLine="708"/>
        <w:jc w:val="both"/>
      </w:pPr>
    </w:p>
    <w:p w:rsidR="004375D6" w:rsidRDefault="004375D6" w:rsidP="004375D6">
      <w:pPr>
        <w:ind w:firstLine="708"/>
        <w:jc w:val="both"/>
      </w:pPr>
      <w:r>
        <w:t xml:space="preserve">2. Hacer saber esta determinación al Juez </w:t>
      </w:r>
      <w:r w:rsidR="00F40C7F">
        <w:t>Promiscuo del Circuito de Paz de Ariporo</w:t>
      </w:r>
      <w:r>
        <w:t>.</w:t>
      </w:r>
    </w:p>
    <w:p w:rsidR="004375D6" w:rsidRDefault="004375D6" w:rsidP="004375D6">
      <w:pPr>
        <w:ind w:firstLine="708"/>
        <w:jc w:val="both"/>
      </w:pPr>
    </w:p>
    <w:p w:rsidR="004375D6" w:rsidRDefault="004375D6" w:rsidP="004375D6">
      <w:pPr>
        <w:ind w:firstLine="708"/>
        <w:jc w:val="both"/>
      </w:pPr>
      <w:r>
        <w:lastRenderedPageBreak/>
        <w:t xml:space="preserve">La Secretaría dejará las constancias del caso. </w:t>
      </w:r>
    </w:p>
    <w:p w:rsidR="004375D6" w:rsidRDefault="004375D6" w:rsidP="004375D6">
      <w:pPr>
        <w:ind w:firstLine="708"/>
        <w:jc w:val="both"/>
      </w:pPr>
    </w:p>
    <w:p w:rsidR="004375D6" w:rsidRDefault="004375D6" w:rsidP="004375D6">
      <w:pPr>
        <w:ind w:firstLine="708"/>
        <w:jc w:val="both"/>
        <w:rPr>
          <w:b/>
        </w:rPr>
      </w:pPr>
      <w:r w:rsidRPr="00F93911">
        <w:rPr>
          <w:b/>
        </w:rPr>
        <w:t>Cópiese y notifíquese</w:t>
      </w:r>
    </w:p>
    <w:p w:rsidR="004375D6" w:rsidRDefault="004375D6" w:rsidP="004375D6">
      <w:pPr>
        <w:ind w:firstLine="708"/>
        <w:jc w:val="both"/>
        <w:rPr>
          <w:b/>
        </w:rPr>
      </w:pPr>
    </w:p>
    <w:p w:rsidR="004375D6" w:rsidRDefault="004375D6" w:rsidP="004375D6">
      <w:pPr>
        <w:ind w:firstLine="708"/>
        <w:jc w:val="both"/>
        <w:rPr>
          <w:b/>
        </w:rPr>
      </w:pPr>
    </w:p>
    <w:p w:rsidR="004375D6" w:rsidRDefault="004375D6" w:rsidP="004375D6">
      <w:pPr>
        <w:ind w:firstLine="708"/>
        <w:jc w:val="both"/>
        <w:rPr>
          <w:b/>
        </w:rPr>
      </w:pPr>
    </w:p>
    <w:p w:rsidR="004375D6" w:rsidRPr="00F93911" w:rsidRDefault="004375D6" w:rsidP="004375D6">
      <w:pPr>
        <w:ind w:firstLine="708"/>
        <w:jc w:val="both"/>
        <w:rPr>
          <w:b/>
        </w:rPr>
      </w:pPr>
    </w:p>
    <w:p w:rsidR="004375D6" w:rsidRPr="008F46B1" w:rsidRDefault="004375D6" w:rsidP="004375D6">
      <w:pPr>
        <w:rPr>
          <w:b/>
          <w:lang w:val="es-ES_tradnl"/>
        </w:rPr>
      </w:pPr>
      <w:r w:rsidRPr="008F46B1">
        <w:rPr>
          <w:b/>
          <w:lang w:val="es-ES_tradnl"/>
        </w:rPr>
        <w:t>MARGARITA CABELLO BLANCO</w:t>
      </w:r>
    </w:p>
    <w:p w:rsidR="004375D6" w:rsidRPr="008F46B1" w:rsidRDefault="004375D6" w:rsidP="004375D6">
      <w:pPr>
        <w:rPr>
          <w:lang w:val="es-ES_tradnl"/>
        </w:rPr>
      </w:pPr>
      <w:r w:rsidRPr="008F46B1">
        <w:rPr>
          <w:lang w:val="es-ES_tradnl"/>
        </w:rPr>
        <w:t>Magistrada</w:t>
      </w:r>
    </w:p>
    <w:p w:rsidR="004375D6" w:rsidRPr="008F46B1" w:rsidRDefault="004375D6" w:rsidP="004375D6">
      <w:pPr>
        <w:rPr>
          <w:lang w:val="es-ES_tradnl"/>
        </w:rPr>
      </w:pPr>
    </w:p>
    <w:p w:rsidR="004375D6" w:rsidRDefault="004375D6" w:rsidP="004375D6">
      <w:pPr>
        <w:rPr>
          <w:lang w:val="es-ES_tradnl"/>
        </w:rPr>
      </w:pPr>
    </w:p>
    <w:p w:rsidR="00314600" w:rsidRDefault="004375D6" w:rsidP="00F40C7F">
      <w:pPr>
        <w:jc w:val="both"/>
      </w:pPr>
      <w:r>
        <w:rPr>
          <w:rFonts w:ascii="Arial" w:hAnsi="Arial"/>
          <w:sz w:val="26"/>
          <w:szCs w:val="26"/>
        </w:rPr>
        <w:t xml:space="preserve">    </w:t>
      </w:r>
    </w:p>
    <w:sectPr w:rsidR="00314600" w:rsidSect="00CE001A">
      <w:headerReference w:type="default" r:id="rId6"/>
      <w:footerReference w:type="default" r:id="rId7"/>
      <w:headerReference w:type="first" r:id="rId8"/>
      <w:pgSz w:w="12242" w:h="18722" w:code="14"/>
      <w:pgMar w:top="2268" w:right="1418" w:bottom="1418" w:left="2268" w:header="851" w:footer="567" w:gutter="0"/>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9A6" w:rsidRDefault="004F69A6" w:rsidP="004375D6">
      <w:pPr>
        <w:spacing w:line="240" w:lineRule="auto"/>
      </w:pPr>
      <w:r>
        <w:separator/>
      </w:r>
    </w:p>
  </w:endnote>
  <w:endnote w:type="continuationSeparator" w:id="0">
    <w:p w:rsidR="004F69A6" w:rsidRDefault="004F69A6" w:rsidP="004375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helleyVolante BT">
    <w:altName w:val="Bookman Old Style"/>
    <w:charset w:val="00"/>
    <w:family w:val="script"/>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8760911"/>
      <w:docPartObj>
        <w:docPartGallery w:val="Page Numbers (Bottom of Page)"/>
        <w:docPartUnique/>
      </w:docPartObj>
    </w:sdtPr>
    <w:sdtEndPr>
      <w:rPr>
        <w:sz w:val="20"/>
        <w:szCs w:val="20"/>
      </w:rPr>
    </w:sdtEndPr>
    <w:sdtContent>
      <w:p w:rsidR="002B0BFC" w:rsidRPr="002B0BFC" w:rsidRDefault="00F5681F">
        <w:pPr>
          <w:pStyle w:val="Piedepgina"/>
          <w:jc w:val="right"/>
          <w:rPr>
            <w:sz w:val="20"/>
            <w:szCs w:val="20"/>
          </w:rPr>
        </w:pPr>
        <w:r w:rsidRPr="002B0BFC">
          <w:rPr>
            <w:sz w:val="20"/>
            <w:szCs w:val="20"/>
          </w:rPr>
          <w:fldChar w:fldCharType="begin"/>
        </w:r>
        <w:r w:rsidRPr="002B0BFC">
          <w:rPr>
            <w:sz w:val="20"/>
            <w:szCs w:val="20"/>
          </w:rPr>
          <w:instrText>PAGE   \* MERGEFORMAT</w:instrText>
        </w:r>
        <w:r w:rsidRPr="002B0BFC">
          <w:rPr>
            <w:sz w:val="20"/>
            <w:szCs w:val="20"/>
          </w:rPr>
          <w:fldChar w:fldCharType="separate"/>
        </w:r>
        <w:r w:rsidR="00B223D5" w:rsidRPr="00B223D5">
          <w:rPr>
            <w:noProof/>
            <w:sz w:val="20"/>
            <w:szCs w:val="20"/>
            <w:lang w:val="es-ES"/>
          </w:rPr>
          <w:t>6</w:t>
        </w:r>
        <w:r w:rsidRPr="002B0BFC">
          <w:rPr>
            <w:sz w:val="20"/>
            <w:szCs w:val="20"/>
          </w:rPr>
          <w:fldChar w:fldCharType="end"/>
        </w:r>
      </w:p>
    </w:sdtContent>
  </w:sdt>
  <w:p w:rsidR="00D95C7A" w:rsidRDefault="004F69A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9A6" w:rsidRDefault="004F69A6" w:rsidP="004375D6">
      <w:pPr>
        <w:spacing w:line="240" w:lineRule="auto"/>
      </w:pPr>
      <w:r>
        <w:separator/>
      </w:r>
    </w:p>
  </w:footnote>
  <w:footnote w:type="continuationSeparator" w:id="0">
    <w:p w:rsidR="004F69A6" w:rsidRDefault="004F69A6" w:rsidP="004375D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01A" w:rsidRDefault="004F69A6">
    <w:pPr>
      <w:pStyle w:val="Encabezado"/>
    </w:pPr>
  </w:p>
  <w:p w:rsidR="00CE001A" w:rsidRDefault="004F69A6">
    <w:pPr>
      <w:pStyle w:val="Encabezado"/>
    </w:pPr>
  </w:p>
  <w:p w:rsidR="00CE001A" w:rsidRDefault="004F69A6" w:rsidP="00CE001A">
    <w:pPr>
      <w:ind w:firstLine="708"/>
      <w:jc w:val="right"/>
      <w:rPr>
        <w:sz w:val="24"/>
        <w:szCs w:val="24"/>
      </w:rPr>
    </w:pPr>
  </w:p>
  <w:p w:rsidR="00CE001A" w:rsidRPr="00CE001A" w:rsidRDefault="00F5681F" w:rsidP="00CE001A">
    <w:pPr>
      <w:ind w:firstLine="708"/>
      <w:jc w:val="right"/>
      <w:rPr>
        <w:sz w:val="20"/>
        <w:szCs w:val="20"/>
      </w:rPr>
    </w:pPr>
    <w:r w:rsidRPr="00CE001A">
      <w:rPr>
        <w:sz w:val="20"/>
        <w:szCs w:val="20"/>
      </w:rPr>
      <w:t xml:space="preserve">Radicación </w:t>
    </w:r>
    <w:r w:rsidR="004375D6">
      <w:rPr>
        <w:sz w:val="20"/>
        <w:szCs w:val="20"/>
      </w:rPr>
      <w:t>n° 11001 02 03 000 2015 01942 00</w:t>
    </w:r>
  </w:p>
  <w:p w:rsidR="00CE001A" w:rsidRDefault="004F69A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01A" w:rsidRDefault="004F69A6">
    <w:pPr>
      <w:pStyle w:val="Encabezado"/>
    </w:pPr>
  </w:p>
  <w:p w:rsidR="00CE001A" w:rsidRPr="0040380B" w:rsidRDefault="00F5681F" w:rsidP="00CE001A">
    <w:pPr>
      <w:pStyle w:val="Ttulo2"/>
      <w:jc w:val="center"/>
      <w:rPr>
        <w:b w:val="0"/>
        <w:szCs w:val="28"/>
      </w:rPr>
    </w:pPr>
    <w:r w:rsidRPr="0040380B">
      <w:rPr>
        <w:b w:val="0"/>
        <w:szCs w:val="28"/>
      </w:rPr>
      <w:t>República de Colombia</w:t>
    </w:r>
  </w:p>
  <w:p w:rsidR="00CE001A" w:rsidRPr="0040380B" w:rsidRDefault="00F5681F" w:rsidP="00CE001A">
    <w:pPr>
      <w:rPr>
        <w:rFonts w:ascii="Monotype Corsiva" w:hAnsi="Monotype Corsiva"/>
        <w:bCs/>
      </w:rPr>
    </w:pPr>
    <w:r>
      <w:rPr>
        <w:rFonts w:ascii="Monotype Corsiva" w:hAnsi="Monotype Corsiva"/>
        <w:bCs/>
        <w:noProof/>
        <w:lang w:eastAsia="es-CO"/>
      </w:rPr>
      <w:drawing>
        <wp:inline distT="0" distB="0" distL="0" distR="0" wp14:anchorId="2E46D269" wp14:editId="6E02E42D">
          <wp:extent cx="714375" cy="4857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714375" cy="485775"/>
                  </a:xfrm>
                  <a:prstGeom prst="rect">
                    <a:avLst/>
                  </a:prstGeom>
                  <a:noFill/>
                  <a:ln>
                    <a:noFill/>
                  </a:ln>
                </pic:spPr>
              </pic:pic>
            </a:graphicData>
          </a:graphic>
        </wp:inline>
      </w:drawing>
    </w:r>
  </w:p>
  <w:p w:rsidR="00CE001A" w:rsidRPr="0040380B" w:rsidRDefault="00F5681F" w:rsidP="00CE001A">
    <w:pPr>
      <w:pStyle w:val="Descripcin"/>
      <w:rPr>
        <w:rFonts w:ascii="Monotype Corsiva" w:hAnsi="Monotype Corsiva"/>
        <w:b w:val="0"/>
        <w:szCs w:val="28"/>
      </w:rPr>
    </w:pPr>
    <w:r w:rsidRPr="0040380B">
      <w:rPr>
        <w:rFonts w:ascii="Monotype Corsiva" w:hAnsi="Monotype Corsiva"/>
        <w:b w:val="0"/>
        <w:szCs w:val="28"/>
      </w:rPr>
      <w:t>Corte Suprema de Justicia</w:t>
    </w:r>
  </w:p>
  <w:p w:rsidR="002B0BFC" w:rsidRDefault="004F69A6">
    <w:pPr>
      <w:pStyle w:val="Encabezado"/>
    </w:pPr>
  </w:p>
  <w:p w:rsidR="002B0BFC" w:rsidRDefault="004F69A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321"/>
    <w:rsid w:val="000425BE"/>
    <w:rsid w:val="000522C9"/>
    <w:rsid w:val="000537A9"/>
    <w:rsid w:val="00053C3E"/>
    <w:rsid w:val="00077746"/>
    <w:rsid w:val="00080BDA"/>
    <w:rsid w:val="000A0C2D"/>
    <w:rsid w:val="000B6E99"/>
    <w:rsid w:val="000B7CC0"/>
    <w:rsid w:val="00102937"/>
    <w:rsid w:val="00112E6D"/>
    <w:rsid w:val="001423F3"/>
    <w:rsid w:val="0015186D"/>
    <w:rsid w:val="00171405"/>
    <w:rsid w:val="00193693"/>
    <w:rsid w:val="001A7A76"/>
    <w:rsid w:val="001B165C"/>
    <w:rsid w:val="001D1578"/>
    <w:rsid w:val="001F505D"/>
    <w:rsid w:val="001F6DD5"/>
    <w:rsid w:val="00217E3E"/>
    <w:rsid w:val="00247C9A"/>
    <w:rsid w:val="00250718"/>
    <w:rsid w:val="00260F40"/>
    <w:rsid w:val="002A1E6F"/>
    <w:rsid w:val="002B5295"/>
    <w:rsid w:val="002C1D0A"/>
    <w:rsid w:val="002C3B81"/>
    <w:rsid w:val="002D1634"/>
    <w:rsid w:val="002E3D63"/>
    <w:rsid w:val="002F20D3"/>
    <w:rsid w:val="00322AA6"/>
    <w:rsid w:val="003C7E7C"/>
    <w:rsid w:val="003E1E06"/>
    <w:rsid w:val="0040288B"/>
    <w:rsid w:val="004159F6"/>
    <w:rsid w:val="00426161"/>
    <w:rsid w:val="00433227"/>
    <w:rsid w:val="004375D6"/>
    <w:rsid w:val="00437784"/>
    <w:rsid w:val="0047761B"/>
    <w:rsid w:val="00486608"/>
    <w:rsid w:val="004C3161"/>
    <w:rsid w:val="004D0F5E"/>
    <w:rsid w:val="004F69A6"/>
    <w:rsid w:val="00507D1B"/>
    <w:rsid w:val="00535651"/>
    <w:rsid w:val="0057704E"/>
    <w:rsid w:val="0059341E"/>
    <w:rsid w:val="00595E58"/>
    <w:rsid w:val="00597EAC"/>
    <w:rsid w:val="0066457C"/>
    <w:rsid w:val="006778EF"/>
    <w:rsid w:val="0069613C"/>
    <w:rsid w:val="006A5321"/>
    <w:rsid w:val="006C1ACA"/>
    <w:rsid w:val="006C7FE4"/>
    <w:rsid w:val="006D3B09"/>
    <w:rsid w:val="00750914"/>
    <w:rsid w:val="007510F3"/>
    <w:rsid w:val="00753EF2"/>
    <w:rsid w:val="007D5129"/>
    <w:rsid w:val="007D5EF7"/>
    <w:rsid w:val="007E0F08"/>
    <w:rsid w:val="007E3E58"/>
    <w:rsid w:val="008436CA"/>
    <w:rsid w:val="00872663"/>
    <w:rsid w:val="008728E8"/>
    <w:rsid w:val="00876503"/>
    <w:rsid w:val="0088416A"/>
    <w:rsid w:val="008A6151"/>
    <w:rsid w:val="008F5F55"/>
    <w:rsid w:val="008F6004"/>
    <w:rsid w:val="00920030"/>
    <w:rsid w:val="00921890"/>
    <w:rsid w:val="0093497F"/>
    <w:rsid w:val="00947CDE"/>
    <w:rsid w:val="00983EE9"/>
    <w:rsid w:val="009963FC"/>
    <w:rsid w:val="009B164A"/>
    <w:rsid w:val="009D20A4"/>
    <w:rsid w:val="00A021A2"/>
    <w:rsid w:val="00A11D65"/>
    <w:rsid w:val="00A84F2F"/>
    <w:rsid w:val="00AA1676"/>
    <w:rsid w:val="00AC0B18"/>
    <w:rsid w:val="00AC2186"/>
    <w:rsid w:val="00AD171E"/>
    <w:rsid w:val="00B223D5"/>
    <w:rsid w:val="00B32AC4"/>
    <w:rsid w:val="00B429B1"/>
    <w:rsid w:val="00B50813"/>
    <w:rsid w:val="00B67C05"/>
    <w:rsid w:val="00B915F7"/>
    <w:rsid w:val="00BC6A8A"/>
    <w:rsid w:val="00BC7204"/>
    <w:rsid w:val="00BE2678"/>
    <w:rsid w:val="00C05618"/>
    <w:rsid w:val="00C242ED"/>
    <w:rsid w:val="00C5652A"/>
    <w:rsid w:val="00C67981"/>
    <w:rsid w:val="00C71110"/>
    <w:rsid w:val="00CD344B"/>
    <w:rsid w:val="00D00D0D"/>
    <w:rsid w:val="00D10E32"/>
    <w:rsid w:val="00D522E7"/>
    <w:rsid w:val="00DB03A7"/>
    <w:rsid w:val="00DB696C"/>
    <w:rsid w:val="00DD78E6"/>
    <w:rsid w:val="00DF1738"/>
    <w:rsid w:val="00E108A5"/>
    <w:rsid w:val="00E13E69"/>
    <w:rsid w:val="00E2267F"/>
    <w:rsid w:val="00E2730A"/>
    <w:rsid w:val="00E556B3"/>
    <w:rsid w:val="00EC7C66"/>
    <w:rsid w:val="00EF1633"/>
    <w:rsid w:val="00F1141B"/>
    <w:rsid w:val="00F202A6"/>
    <w:rsid w:val="00F40C7F"/>
    <w:rsid w:val="00F4193F"/>
    <w:rsid w:val="00F42B43"/>
    <w:rsid w:val="00F5681F"/>
    <w:rsid w:val="00F579EB"/>
    <w:rsid w:val="00F63733"/>
    <w:rsid w:val="00F71172"/>
    <w:rsid w:val="00FA62AA"/>
    <w:rsid w:val="00FB165B"/>
    <w:rsid w:val="00FD2588"/>
    <w:rsid w:val="00FD7495"/>
    <w:rsid w:val="00FE1A5A"/>
    <w:rsid w:val="00FF1E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2C9ED1-07D2-4563-97E5-12D7467C0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HAnsi" w:hAnsi="Bookman Old Style" w:cs="Times New Roman"/>
        <w:sz w:val="28"/>
        <w:szCs w:val="28"/>
        <w:lang w:val="es-CO" w:eastAsia="en-US" w:bidi="ar-SA"/>
      </w:rPr>
    </w:rPrDefault>
    <w:pPrDefault>
      <w:pPr>
        <w:spacing w:line="36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5D6"/>
    <w:rPr>
      <w:rFonts w:cs="Arial"/>
      <w:spacing w:val="-3"/>
    </w:rPr>
  </w:style>
  <w:style w:type="paragraph" w:styleId="Ttulo2">
    <w:name w:val="heading 2"/>
    <w:basedOn w:val="Normal"/>
    <w:next w:val="Normal"/>
    <w:link w:val="Ttulo2Car"/>
    <w:qFormat/>
    <w:rsid w:val="004375D6"/>
    <w:pPr>
      <w:keepNext/>
      <w:spacing w:line="240" w:lineRule="auto"/>
      <w:jc w:val="left"/>
      <w:outlineLvl w:val="1"/>
    </w:pPr>
    <w:rPr>
      <w:rFonts w:ascii="Monotype Corsiva" w:eastAsia="Times New Roman" w:hAnsi="Monotype Corsiva" w:cs="Times New Roman"/>
      <w:b/>
      <w:bCs/>
      <w:spacing w:val="0"/>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4375D6"/>
    <w:rPr>
      <w:rFonts w:ascii="Monotype Corsiva" w:eastAsia="Times New Roman" w:hAnsi="Monotype Corsiva"/>
      <w:b/>
      <w:bCs/>
      <w:szCs w:val="24"/>
      <w:lang w:val="es-ES" w:eastAsia="es-ES"/>
    </w:rPr>
  </w:style>
  <w:style w:type="paragraph" w:styleId="Textoindependiente">
    <w:name w:val="Body Text"/>
    <w:basedOn w:val="Normal"/>
    <w:link w:val="TextoindependienteCar"/>
    <w:rsid w:val="004375D6"/>
    <w:pPr>
      <w:jc w:val="both"/>
    </w:pPr>
    <w:rPr>
      <w:rFonts w:ascii="Arial" w:eastAsia="Times New Roman" w:hAnsi="Arial" w:cs="Times New Roman"/>
      <w:szCs w:val="20"/>
      <w:lang w:val="es-ES" w:eastAsia="es-CO"/>
    </w:rPr>
  </w:style>
  <w:style w:type="character" w:customStyle="1" w:styleId="TextoindependienteCar">
    <w:name w:val="Texto independiente Car"/>
    <w:basedOn w:val="Fuentedeprrafopredeter"/>
    <w:link w:val="Textoindependiente"/>
    <w:rsid w:val="004375D6"/>
    <w:rPr>
      <w:rFonts w:ascii="Arial" w:eastAsia="Times New Roman" w:hAnsi="Arial"/>
      <w:spacing w:val="-3"/>
      <w:szCs w:val="20"/>
      <w:lang w:val="es-ES" w:eastAsia="es-CO"/>
    </w:rPr>
  </w:style>
  <w:style w:type="paragraph" w:styleId="Piedepgina">
    <w:name w:val="footer"/>
    <w:basedOn w:val="Normal"/>
    <w:link w:val="PiedepginaCar"/>
    <w:uiPriority w:val="99"/>
    <w:unhideWhenUsed/>
    <w:rsid w:val="004375D6"/>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375D6"/>
    <w:rPr>
      <w:rFonts w:cs="Arial"/>
      <w:spacing w:val="-3"/>
    </w:rPr>
  </w:style>
  <w:style w:type="paragraph" w:styleId="Descripcin">
    <w:name w:val="caption"/>
    <w:basedOn w:val="Normal"/>
    <w:next w:val="Normal"/>
    <w:qFormat/>
    <w:rsid w:val="004375D6"/>
    <w:pPr>
      <w:spacing w:line="240" w:lineRule="auto"/>
    </w:pPr>
    <w:rPr>
      <w:rFonts w:ascii="ShelleyVolante BT" w:eastAsia="Times New Roman" w:hAnsi="ShelleyVolante BT" w:cs="Times New Roman"/>
      <w:b/>
      <w:bCs/>
      <w:spacing w:val="0"/>
      <w:szCs w:val="24"/>
      <w:lang w:val="es-ES" w:eastAsia="es-ES"/>
    </w:rPr>
  </w:style>
  <w:style w:type="paragraph" w:styleId="Encabezado">
    <w:name w:val="header"/>
    <w:basedOn w:val="Normal"/>
    <w:link w:val="EncabezadoCar"/>
    <w:uiPriority w:val="99"/>
    <w:unhideWhenUsed/>
    <w:rsid w:val="004375D6"/>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375D6"/>
    <w:rPr>
      <w:rFonts w:cs="Arial"/>
      <w:spacing w:val="-3"/>
    </w:rPr>
  </w:style>
  <w:style w:type="paragraph" w:styleId="Textodeglobo">
    <w:name w:val="Balloon Text"/>
    <w:basedOn w:val="Normal"/>
    <w:link w:val="TextodegloboCar"/>
    <w:uiPriority w:val="99"/>
    <w:semiHidden/>
    <w:unhideWhenUsed/>
    <w:rsid w:val="004375D6"/>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75D6"/>
    <w:rPr>
      <w:rFonts w:ascii="Tahoma" w:hAnsi="Tahoma" w:cs="Tahoma"/>
      <w:spacing w:val="-3"/>
      <w:sz w:val="16"/>
      <w:szCs w:val="16"/>
    </w:rPr>
  </w:style>
  <w:style w:type="paragraph" w:styleId="Prrafodelista">
    <w:name w:val="List Paragraph"/>
    <w:basedOn w:val="Normal"/>
    <w:uiPriority w:val="34"/>
    <w:qFormat/>
    <w:rsid w:val="007D5E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1351</Words>
  <Characters>7436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CONSEJO SUPERIOR DE LA JUDICATURA</Company>
  <LinksUpToDate>false</LinksUpToDate>
  <CharactersWithSpaces>8770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Guillermo Abreo Triviño</dc:creator>
  <cp:keywords/>
  <dc:description/>
  <cp:lastModifiedBy>Maria Monica Faciolince Gómez</cp:lastModifiedBy>
  <cp:revision>2</cp:revision>
  <cp:lastPrinted>2016-05-02T21:14:00Z</cp:lastPrinted>
  <dcterms:created xsi:type="dcterms:W3CDTF">2016-05-17T16:34:00Z</dcterms:created>
  <dcterms:modified xsi:type="dcterms:W3CDTF">2016-05-17T16:34:00Z</dcterms:modified>
</cp:coreProperties>
</file>