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A9" w:rsidRDefault="00AF58A9" w:rsidP="00305720">
      <w:pPr>
        <w:pStyle w:val="Estilo2"/>
        <w:spacing w:line="360" w:lineRule="auto"/>
        <w:rPr>
          <w:rFonts w:eastAsia="Calibri" w:cs="Arial"/>
          <w:b/>
          <w:i w:val="0"/>
          <w:sz w:val="28"/>
          <w:szCs w:val="28"/>
        </w:rPr>
      </w:pPr>
    </w:p>
    <w:p w:rsidR="00305720" w:rsidRDefault="00305720" w:rsidP="00305720">
      <w:pPr>
        <w:pStyle w:val="Estilo2"/>
        <w:spacing w:line="360" w:lineRule="auto"/>
        <w:rPr>
          <w:rFonts w:eastAsia="Calibri" w:cs="Arial"/>
          <w:b/>
          <w:i w:val="0"/>
          <w:sz w:val="28"/>
          <w:szCs w:val="28"/>
        </w:rPr>
      </w:pPr>
    </w:p>
    <w:p w:rsidR="00305720" w:rsidRDefault="00305720" w:rsidP="00305720">
      <w:pPr>
        <w:pStyle w:val="Estilo2"/>
        <w:spacing w:line="360" w:lineRule="auto"/>
        <w:jc w:val="center"/>
        <w:rPr>
          <w:rFonts w:eastAsia="Calibri" w:cs="Arial"/>
          <w:b/>
          <w:i w:val="0"/>
          <w:sz w:val="28"/>
          <w:szCs w:val="28"/>
        </w:rPr>
      </w:pPr>
    </w:p>
    <w:p w:rsidR="00305720" w:rsidRPr="001D01C7" w:rsidRDefault="00305720" w:rsidP="00305720">
      <w:pPr>
        <w:pStyle w:val="Estilo2"/>
        <w:spacing w:line="360" w:lineRule="auto"/>
        <w:jc w:val="center"/>
        <w:rPr>
          <w:b/>
          <w:i w:val="0"/>
          <w:sz w:val="28"/>
          <w:szCs w:val="28"/>
        </w:rPr>
      </w:pPr>
      <w:r w:rsidRPr="001D01C7">
        <w:rPr>
          <w:b/>
          <w:i w:val="0"/>
          <w:sz w:val="28"/>
          <w:szCs w:val="28"/>
        </w:rPr>
        <w:t>CORTE SUPREMA DE JUSTICIA</w:t>
      </w:r>
    </w:p>
    <w:p w:rsidR="00305720" w:rsidRPr="001D01C7" w:rsidRDefault="00305720" w:rsidP="00305720">
      <w:pPr>
        <w:pStyle w:val="Estilo2"/>
        <w:spacing w:line="360" w:lineRule="auto"/>
        <w:jc w:val="center"/>
        <w:rPr>
          <w:b/>
          <w:i w:val="0"/>
          <w:sz w:val="28"/>
          <w:szCs w:val="28"/>
        </w:rPr>
      </w:pPr>
      <w:r w:rsidRPr="001D01C7">
        <w:rPr>
          <w:b/>
          <w:i w:val="0"/>
          <w:sz w:val="28"/>
          <w:szCs w:val="28"/>
        </w:rPr>
        <w:t>SALA DE CASACIÓN CIVIL</w:t>
      </w:r>
    </w:p>
    <w:p w:rsidR="00305720" w:rsidRPr="001D01C7" w:rsidRDefault="00305720" w:rsidP="00305720">
      <w:pPr>
        <w:pStyle w:val="Estilo2"/>
        <w:spacing w:line="360" w:lineRule="auto"/>
        <w:jc w:val="center"/>
        <w:rPr>
          <w:b/>
          <w:i w:val="0"/>
          <w:sz w:val="28"/>
          <w:szCs w:val="28"/>
        </w:rPr>
      </w:pPr>
    </w:p>
    <w:p w:rsidR="00305720" w:rsidRPr="001D01C7" w:rsidRDefault="00305720" w:rsidP="00305720">
      <w:pPr>
        <w:pStyle w:val="Estilo2"/>
        <w:spacing w:line="360" w:lineRule="auto"/>
        <w:jc w:val="center"/>
        <w:rPr>
          <w:b/>
          <w:i w:val="0"/>
          <w:sz w:val="28"/>
          <w:szCs w:val="28"/>
        </w:rPr>
      </w:pPr>
    </w:p>
    <w:p w:rsidR="00305720" w:rsidRPr="001D01C7" w:rsidRDefault="00305720" w:rsidP="00305720">
      <w:pPr>
        <w:pStyle w:val="Estilo2"/>
        <w:spacing w:line="360" w:lineRule="auto"/>
        <w:jc w:val="center"/>
        <w:rPr>
          <w:b/>
          <w:i w:val="0"/>
          <w:sz w:val="28"/>
          <w:szCs w:val="28"/>
        </w:rPr>
      </w:pPr>
      <w:r w:rsidRPr="001D01C7">
        <w:rPr>
          <w:b/>
          <w:i w:val="0"/>
          <w:sz w:val="28"/>
          <w:szCs w:val="28"/>
        </w:rPr>
        <w:t>MARGARITA CABELLO BLANCO</w:t>
      </w:r>
    </w:p>
    <w:p w:rsidR="00305720" w:rsidRPr="001D01C7" w:rsidRDefault="00305720" w:rsidP="00305720">
      <w:pPr>
        <w:pStyle w:val="Estilo2"/>
        <w:spacing w:line="360" w:lineRule="auto"/>
        <w:jc w:val="center"/>
        <w:rPr>
          <w:b/>
          <w:i w:val="0"/>
          <w:sz w:val="28"/>
          <w:szCs w:val="28"/>
        </w:rPr>
      </w:pPr>
      <w:r w:rsidRPr="001D01C7">
        <w:rPr>
          <w:b/>
          <w:i w:val="0"/>
          <w:sz w:val="28"/>
          <w:szCs w:val="28"/>
        </w:rPr>
        <w:t>Magistrada ponente</w:t>
      </w:r>
    </w:p>
    <w:p w:rsidR="00305720" w:rsidRPr="001D01C7" w:rsidRDefault="00305720" w:rsidP="00305720">
      <w:pPr>
        <w:pStyle w:val="Estilo2"/>
        <w:spacing w:line="360" w:lineRule="auto"/>
        <w:ind w:left="708"/>
        <w:jc w:val="center"/>
        <w:rPr>
          <w:i w:val="0"/>
          <w:sz w:val="28"/>
          <w:szCs w:val="28"/>
          <w:lang w:val="es-CO"/>
        </w:rPr>
      </w:pPr>
    </w:p>
    <w:p w:rsidR="00305720" w:rsidRPr="001D01C7" w:rsidRDefault="00305720" w:rsidP="00305720">
      <w:pPr>
        <w:pStyle w:val="Estilo2"/>
        <w:spacing w:line="360" w:lineRule="auto"/>
        <w:ind w:left="708"/>
        <w:jc w:val="center"/>
        <w:rPr>
          <w:i w:val="0"/>
          <w:sz w:val="28"/>
          <w:szCs w:val="28"/>
          <w:lang w:val="es-CO"/>
        </w:rPr>
      </w:pPr>
    </w:p>
    <w:p w:rsidR="00922CC8" w:rsidRDefault="00305720" w:rsidP="005A249F">
      <w:pPr>
        <w:spacing w:line="276" w:lineRule="auto"/>
        <w:ind w:left="2124" w:firstLine="708"/>
        <w:rPr>
          <w:rFonts w:ascii="Bookman Old Style" w:hAnsi="Bookman Old Style" w:cs="Arial"/>
          <w:b/>
          <w:sz w:val="28"/>
          <w:szCs w:val="28"/>
        </w:rPr>
      </w:pPr>
      <w:r>
        <w:rPr>
          <w:rFonts w:ascii="Bookman Old Style" w:hAnsi="Bookman Old Style" w:cs="Arial"/>
          <w:b/>
          <w:sz w:val="28"/>
          <w:szCs w:val="28"/>
        </w:rPr>
        <w:t xml:space="preserve">  </w:t>
      </w:r>
      <w:r w:rsidR="005A249F" w:rsidRPr="005A249F">
        <w:rPr>
          <w:rFonts w:ascii="Bookman Old Style" w:hAnsi="Bookman Old Style" w:cs="Arial"/>
          <w:b/>
          <w:sz w:val="28"/>
          <w:szCs w:val="28"/>
        </w:rPr>
        <w:t>AC2633-2016</w:t>
      </w:r>
    </w:p>
    <w:p w:rsidR="00305720" w:rsidRPr="001D01C7" w:rsidRDefault="00305720" w:rsidP="005A249F">
      <w:pPr>
        <w:spacing w:line="276" w:lineRule="auto"/>
        <w:rPr>
          <w:rFonts w:ascii="Bookman Old Style" w:hAnsi="Bookman Old Style" w:cs="Arial"/>
          <w:b/>
          <w:sz w:val="28"/>
          <w:szCs w:val="28"/>
        </w:rPr>
      </w:pPr>
      <w:r>
        <w:rPr>
          <w:rFonts w:ascii="Bookman Old Style" w:hAnsi="Bookman Old Style" w:cs="Arial"/>
          <w:b/>
          <w:sz w:val="28"/>
          <w:szCs w:val="28"/>
        </w:rPr>
        <w:tab/>
        <w:t>Radicación</w:t>
      </w:r>
      <w:r w:rsidRPr="001D01C7">
        <w:rPr>
          <w:rFonts w:ascii="Bookman Old Style" w:hAnsi="Bookman Old Style" w:cs="Arial"/>
          <w:b/>
          <w:sz w:val="28"/>
          <w:szCs w:val="28"/>
        </w:rPr>
        <w:t xml:space="preserve"> n° </w:t>
      </w:r>
      <w:r>
        <w:rPr>
          <w:rFonts w:ascii="Bookman Old Style" w:hAnsi="Bookman Old Style" w:cs="Arial"/>
          <w:b/>
          <w:sz w:val="28"/>
          <w:szCs w:val="28"/>
        </w:rPr>
        <w:t>11001 02 03 000 2015 01608 00</w:t>
      </w:r>
    </w:p>
    <w:p w:rsidR="00305720" w:rsidRPr="001D01C7" w:rsidRDefault="00305720" w:rsidP="00305720">
      <w:pPr>
        <w:spacing w:line="360" w:lineRule="auto"/>
        <w:jc w:val="both"/>
        <w:rPr>
          <w:rFonts w:ascii="Bookman Old Style" w:hAnsi="Bookman Old Style" w:cs="Arial"/>
          <w:sz w:val="28"/>
          <w:szCs w:val="28"/>
        </w:rPr>
      </w:pPr>
    </w:p>
    <w:p w:rsidR="005A249F" w:rsidRDefault="005A249F" w:rsidP="00305720">
      <w:pPr>
        <w:spacing w:line="360" w:lineRule="auto"/>
        <w:ind w:firstLine="708"/>
        <w:rPr>
          <w:rFonts w:ascii="Bookman Old Style" w:hAnsi="Bookman Old Style"/>
          <w:sz w:val="28"/>
          <w:szCs w:val="28"/>
        </w:rPr>
      </w:pPr>
    </w:p>
    <w:p w:rsidR="00305720" w:rsidRPr="001D01C7" w:rsidRDefault="00305720" w:rsidP="00305720">
      <w:pPr>
        <w:spacing w:line="360" w:lineRule="auto"/>
        <w:ind w:firstLine="708"/>
        <w:rPr>
          <w:rFonts w:ascii="Bookman Old Style" w:hAnsi="Bookman Old Style" w:cs="Arial"/>
          <w:b/>
          <w:sz w:val="28"/>
          <w:szCs w:val="28"/>
        </w:rPr>
      </w:pPr>
      <w:r w:rsidRPr="001D01C7">
        <w:rPr>
          <w:rFonts w:ascii="Bookman Old Style" w:hAnsi="Bookman Old Style"/>
          <w:sz w:val="28"/>
          <w:szCs w:val="28"/>
        </w:rPr>
        <w:t>Bogotá D.</w:t>
      </w:r>
      <w:r>
        <w:rPr>
          <w:rFonts w:ascii="Bookman Old Style" w:hAnsi="Bookman Old Style"/>
          <w:sz w:val="28"/>
          <w:szCs w:val="28"/>
        </w:rPr>
        <w:t xml:space="preserve"> </w:t>
      </w:r>
      <w:r w:rsidRPr="001D01C7">
        <w:rPr>
          <w:rFonts w:ascii="Bookman Old Style" w:hAnsi="Bookman Old Style"/>
          <w:sz w:val="28"/>
          <w:szCs w:val="28"/>
        </w:rPr>
        <w:t>C.,</w:t>
      </w:r>
      <w:r>
        <w:rPr>
          <w:rFonts w:ascii="Bookman Old Style" w:hAnsi="Bookman Old Style"/>
          <w:sz w:val="28"/>
          <w:szCs w:val="28"/>
        </w:rPr>
        <w:t xml:space="preserve"> </w:t>
      </w:r>
      <w:r w:rsidR="005A249F">
        <w:rPr>
          <w:rFonts w:ascii="Bookman Old Style" w:hAnsi="Bookman Old Style"/>
          <w:sz w:val="28"/>
          <w:szCs w:val="28"/>
        </w:rPr>
        <w:t>cuatro (4) de mayo de dos mil dieciséis (2016).</w:t>
      </w:r>
    </w:p>
    <w:p w:rsidR="00305720" w:rsidRDefault="00305720" w:rsidP="00305720">
      <w:pPr>
        <w:spacing w:line="360" w:lineRule="auto"/>
        <w:jc w:val="both"/>
        <w:rPr>
          <w:rFonts w:ascii="Bookman Old Style" w:hAnsi="Bookman Old Style" w:cs="Arial"/>
          <w:sz w:val="28"/>
          <w:szCs w:val="28"/>
        </w:rPr>
      </w:pPr>
      <w:r w:rsidRPr="001D01C7">
        <w:rPr>
          <w:rFonts w:ascii="Bookman Old Style" w:hAnsi="Bookman Old Style" w:cs="Arial"/>
          <w:sz w:val="28"/>
          <w:szCs w:val="28"/>
        </w:rPr>
        <w:tab/>
      </w:r>
      <w:r w:rsidRPr="001D01C7">
        <w:rPr>
          <w:rFonts w:ascii="Bookman Old Style" w:hAnsi="Bookman Old Style" w:cs="Arial"/>
          <w:sz w:val="28"/>
          <w:szCs w:val="28"/>
        </w:rPr>
        <w:tab/>
      </w:r>
    </w:p>
    <w:p w:rsidR="00305720" w:rsidRPr="001D01C7" w:rsidRDefault="00305720" w:rsidP="00305720">
      <w:pPr>
        <w:spacing w:line="360" w:lineRule="auto"/>
        <w:jc w:val="both"/>
        <w:rPr>
          <w:rFonts w:ascii="Bookman Old Style" w:hAnsi="Bookman Old Style" w:cs="Arial"/>
          <w:sz w:val="28"/>
          <w:szCs w:val="28"/>
        </w:rPr>
      </w:pPr>
      <w:r w:rsidRPr="001D01C7">
        <w:rPr>
          <w:rFonts w:ascii="Bookman Old Style" w:hAnsi="Bookman Old Style" w:cs="Arial"/>
          <w:sz w:val="28"/>
          <w:szCs w:val="28"/>
        </w:rPr>
        <w:tab/>
      </w:r>
    </w:p>
    <w:p w:rsidR="00305720" w:rsidRDefault="00305720" w:rsidP="00305720">
      <w:pPr>
        <w:spacing w:line="360" w:lineRule="auto"/>
        <w:jc w:val="both"/>
        <w:rPr>
          <w:rFonts w:ascii="Bookman Old Style" w:hAnsi="Bookman Old Style" w:cs="Arial"/>
          <w:sz w:val="28"/>
          <w:szCs w:val="28"/>
        </w:rPr>
      </w:pPr>
      <w:r w:rsidRPr="001D01C7">
        <w:rPr>
          <w:rFonts w:ascii="Bookman Old Style" w:hAnsi="Bookman Old Style" w:cs="Arial"/>
          <w:sz w:val="28"/>
          <w:szCs w:val="28"/>
        </w:rPr>
        <w:tab/>
      </w:r>
      <w:r>
        <w:rPr>
          <w:rFonts w:ascii="Bookman Old Style" w:hAnsi="Bookman Old Style" w:cs="Arial"/>
          <w:sz w:val="28"/>
          <w:szCs w:val="28"/>
        </w:rPr>
        <w:t>P</w:t>
      </w:r>
      <w:r w:rsidRPr="001D01C7">
        <w:rPr>
          <w:rFonts w:ascii="Bookman Old Style" w:hAnsi="Bookman Old Style" w:cs="Arial"/>
          <w:sz w:val="28"/>
          <w:szCs w:val="28"/>
        </w:rPr>
        <w:t xml:space="preserve">rocede </w:t>
      </w:r>
      <w:r>
        <w:rPr>
          <w:rFonts w:ascii="Bookman Old Style" w:hAnsi="Bookman Old Style" w:cs="Arial"/>
          <w:sz w:val="28"/>
          <w:szCs w:val="28"/>
        </w:rPr>
        <w:t>l</w:t>
      </w:r>
      <w:r w:rsidRPr="001D01C7">
        <w:rPr>
          <w:rFonts w:ascii="Bookman Old Style" w:hAnsi="Bookman Old Style" w:cs="Arial"/>
          <w:sz w:val="28"/>
          <w:szCs w:val="28"/>
        </w:rPr>
        <w:t xml:space="preserve">a </w:t>
      </w:r>
      <w:r>
        <w:rPr>
          <w:rFonts w:ascii="Bookman Old Style" w:hAnsi="Bookman Old Style" w:cs="Arial"/>
          <w:sz w:val="28"/>
          <w:szCs w:val="28"/>
        </w:rPr>
        <w:t>Corte a resolver</w:t>
      </w:r>
      <w:r w:rsidRPr="001D01C7">
        <w:rPr>
          <w:rFonts w:ascii="Bookman Old Style" w:hAnsi="Bookman Old Style" w:cs="Arial"/>
          <w:sz w:val="28"/>
          <w:szCs w:val="28"/>
        </w:rPr>
        <w:t xml:space="preserve"> el conflicto </w:t>
      </w:r>
      <w:r>
        <w:rPr>
          <w:rFonts w:ascii="Bookman Old Style" w:hAnsi="Bookman Old Style" w:cs="Arial"/>
          <w:sz w:val="28"/>
          <w:szCs w:val="28"/>
        </w:rPr>
        <w:t xml:space="preserve">que </w:t>
      </w:r>
      <w:r w:rsidRPr="001D01C7">
        <w:rPr>
          <w:rFonts w:ascii="Bookman Old Style" w:hAnsi="Bookman Old Style" w:cs="Arial"/>
          <w:sz w:val="28"/>
          <w:szCs w:val="28"/>
        </w:rPr>
        <w:t>surgi</w:t>
      </w:r>
      <w:r>
        <w:rPr>
          <w:rFonts w:ascii="Bookman Old Style" w:hAnsi="Bookman Old Style" w:cs="Arial"/>
          <w:sz w:val="28"/>
          <w:szCs w:val="28"/>
        </w:rPr>
        <w:t>ó entre los j</w:t>
      </w:r>
      <w:r w:rsidRPr="001D01C7">
        <w:rPr>
          <w:rFonts w:ascii="Bookman Old Style" w:hAnsi="Bookman Old Style" w:cs="Arial"/>
          <w:sz w:val="28"/>
          <w:szCs w:val="28"/>
        </w:rPr>
        <w:t xml:space="preserve">uzgados </w:t>
      </w:r>
      <w:r>
        <w:rPr>
          <w:rFonts w:ascii="Bookman Old Style" w:hAnsi="Bookman Old Style" w:cs="Arial"/>
          <w:sz w:val="28"/>
          <w:szCs w:val="28"/>
        </w:rPr>
        <w:t>Sesenta y Seis Civil Municipal de Bogotá y el Octavo Civil Municipal de Pereira (Risaralda)</w:t>
      </w:r>
      <w:r w:rsidRPr="001D01C7">
        <w:rPr>
          <w:rFonts w:ascii="Bookman Old Style" w:hAnsi="Bookman Old Style" w:cs="Arial"/>
          <w:sz w:val="28"/>
          <w:szCs w:val="28"/>
        </w:rPr>
        <w:t>, respecto de</w:t>
      </w:r>
      <w:r>
        <w:rPr>
          <w:rFonts w:ascii="Bookman Old Style" w:hAnsi="Bookman Old Style" w:cs="Arial"/>
          <w:sz w:val="28"/>
          <w:szCs w:val="28"/>
        </w:rPr>
        <w:t>l conocimiento del proceso ordinario promovido por DIANA MARIA PACHECO DUQUE contra COMPAÑÍA DE SEGUROS  BOLIVAR S.A.</w:t>
      </w:r>
    </w:p>
    <w:p w:rsidR="00305720" w:rsidRDefault="00305720" w:rsidP="00305720">
      <w:pPr>
        <w:spacing w:line="360" w:lineRule="auto"/>
        <w:jc w:val="both"/>
        <w:rPr>
          <w:rFonts w:ascii="Bookman Old Style" w:hAnsi="Bookman Old Style" w:cs="Arial"/>
          <w:sz w:val="28"/>
          <w:szCs w:val="28"/>
        </w:rPr>
      </w:pPr>
    </w:p>
    <w:p w:rsidR="00305720" w:rsidRPr="001D01C7" w:rsidRDefault="00305720" w:rsidP="00305720">
      <w:pPr>
        <w:spacing w:line="360" w:lineRule="auto"/>
        <w:jc w:val="both"/>
        <w:rPr>
          <w:rFonts w:ascii="Bookman Old Style" w:hAnsi="Bookman Old Style" w:cs="Arial"/>
          <w:sz w:val="28"/>
          <w:szCs w:val="28"/>
        </w:rPr>
      </w:pPr>
    </w:p>
    <w:p w:rsidR="00305720" w:rsidRPr="001D01C7" w:rsidRDefault="00305720" w:rsidP="00305720">
      <w:pPr>
        <w:spacing w:line="360" w:lineRule="auto"/>
        <w:jc w:val="center"/>
        <w:rPr>
          <w:rFonts w:ascii="Bookman Old Style" w:hAnsi="Bookman Old Style" w:cs="Arial"/>
          <w:b/>
          <w:sz w:val="28"/>
          <w:szCs w:val="28"/>
        </w:rPr>
      </w:pPr>
      <w:r w:rsidRPr="001D01C7">
        <w:rPr>
          <w:rFonts w:ascii="Bookman Old Style" w:hAnsi="Bookman Old Style" w:cs="Arial"/>
          <w:b/>
          <w:sz w:val="28"/>
          <w:szCs w:val="28"/>
        </w:rPr>
        <w:t>I ANTECEDENTES</w:t>
      </w:r>
    </w:p>
    <w:p w:rsidR="00305720" w:rsidRDefault="00305720" w:rsidP="00305720">
      <w:pPr>
        <w:spacing w:line="360" w:lineRule="auto"/>
        <w:jc w:val="both"/>
        <w:rPr>
          <w:rFonts w:ascii="Bookman Old Style" w:hAnsi="Bookman Old Style" w:cs="Arial"/>
          <w:b/>
          <w:sz w:val="28"/>
          <w:szCs w:val="28"/>
        </w:rPr>
      </w:pPr>
    </w:p>
    <w:p w:rsidR="00CC5BF8" w:rsidRDefault="00305720" w:rsidP="00305720">
      <w:pPr>
        <w:spacing w:line="360" w:lineRule="auto"/>
        <w:jc w:val="both"/>
        <w:rPr>
          <w:rFonts w:ascii="Bookman Old Style" w:hAnsi="Bookman Old Style" w:cs="Arial"/>
          <w:sz w:val="28"/>
          <w:szCs w:val="28"/>
        </w:rPr>
      </w:pPr>
      <w:r>
        <w:rPr>
          <w:rFonts w:ascii="Bookman Old Style" w:hAnsi="Bookman Old Style" w:cs="Arial"/>
          <w:b/>
          <w:sz w:val="28"/>
          <w:szCs w:val="28"/>
        </w:rPr>
        <w:lastRenderedPageBreak/>
        <w:tab/>
      </w:r>
      <w:r w:rsidRPr="00CF009D">
        <w:rPr>
          <w:rFonts w:ascii="Bookman Old Style" w:hAnsi="Bookman Old Style" w:cs="Arial"/>
          <w:sz w:val="28"/>
          <w:szCs w:val="28"/>
        </w:rPr>
        <w:t xml:space="preserve">1. </w:t>
      </w:r>
      <w:r w:rsidR="00CC5BF8">
        <w:rPr>
          <w:rFonts w:ascii="Bookman Old Style" w:hAnsi="Bookman Old Style" w:cs="Arial"/>
          <w:sz w:val="28"/>
          <w:szCs w:val="28"/>
        </w:rPr>
        <w:t>En la demanda presentada se narraron los siguientes hechos:</w:t>
      </w:r>
    </w:p>
    <w:p w:rsidR="00310063" w:rsidRDefault="00310063" w:rsidP="00305720">
      <w:pPr>
        <w:spacing w:line="360" w:lineRule="auto"/>
        <w:jc w:val="both"/>
        <w:rPr>
          <w:rFonts w:ascii="Bookman Old Style" w:hAnsi="Bookman Old Style" w:cs="Arial"/>
          <w:sz w:val="28"/>
          <w:szCs w:val="28"/>
        </w:rPr>
      </w:pPr>
    </w:p>
    <w:p w:rsidR="00CC5BF8" w:rsidRDefault="00CC5BF8" w:rsidP="00305720">
      <w:pPr>
        <w:spacing w:line="360" w:lineRule="auto"/>
        <w:jc w:val="both"/>
        <w:rPr>
          <w:rFonts w:ascii="Bookman Old Style" w:hAnsi="Bookman Old Style" w:cs="Arial"/>
          <w:sz w:val="28"/>
          <w:szCs w:val="28"/>
        </w:rPr>
      </w:pPr>
      <w:r>
        <w:rPr>
          <w:rFonts w:ascii="Bookman Old Style" w:hAnsi="Bookman Old Style" w:cs="Arial"/>
          <w:sz w:val="28"/>
          <w:szCs w:val="28"/>
        </w:rPr>
        <w:tab/>
        <w:t>1.1. La actora y la accionada celebraron un contrato de seguro de vida grupo, por valor de $50.559.362.oo., numerado con el GR-266001455802. Se pactó, adicionalmente, un anexo de incapacidad total y permanente.</w:t>
      </w:r>
    </w:p>
    <w:p w:rsidR="00CC5BF8" w:rsidRDefault="00CC5BF8" w:rsidP="00305720">
      <w:pPr>
        <w:spacing w:line="360" w:lineRule="auto"/>
        <w:jc w:val="both"/>
        <w:rPr>
          <w:rFonts w:ascii="Bookman Old Style" w:hAnsi="Bookman Old Style" w:cs="Arial"/>
          <w:sz w:val="28"/>
          <w:szCs w:val="28"/>
        </w:rPr>
      </w:pPr>
    </w:p>
    <w:p w:rsidR="00CC5BF8" w:rsidRDefault="00CC5BF8" w:rsidP="00305720">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1.2. En las condiciones particulares se definió el concepto de </w:t>
      </w:r>
      <w:r w:rsidR="00310063">
        <w:rPr>
          <w:rFonts w:ascii="Bookman Old Style" w:hAnsi="Bookman Old Style" w:cs="Arial"/>
          <w:sz w:val="28"/>
          <w:szCs w:val="28"/>
        </w:rPr>
        <w:t>es</w:t>
      </w:r>
      <w:r w:rsidR="00225D68">
        <w:rPr>
          <w:rFonts w:ascii="Bookman Old Style" w:hAnsi="Bookman Old Style" w:cs="Arial"/>
          <w:sz w:val="28"/>
          <w:szCs w:val="28"/>
        </w:rPr>
        <w:t>t</w:t>
      </w:r>
      <w:r w:rsidR="00310063">
        <w:rPr>
          <w:rFonts w:ascii="Bookman Old Style" w:hAnsi="Bookman Old Style" w:cs="Arial"/>
          <w:sz w:val="28"/>
          <w:szCs w:val="28"/>
        </w:rPr>
        <w:t>a</w:t>
      </w:r>
      <w:r>
        <w:rPr>
          <w:rFonts w:ascii="Bookman Old Style" w:hAnsi="Bookman Old Style" w:cs="Arial"/>
          <w:sz w:val="28"/>
          <w:szCs w:val="28"/>
        </w:rPr>
        <w:t xml:space="preserve"> </w:t>
      </w:r>
      <w:r w:rsidR="00225D68">
        <w:rPr>
          <w:rFonts w:ascii="Bookman Old Style" w:hAnsi="Bookman Old Style" w:cs="Arial"/>
          <w:sz w:val="28"/>
          <w:szCs w:val="28"/>
        </w:rPr>
        <w:t xml:space="preserve">última </w:t>
      </w:r>
      <w:r>
        <w:rPr>
          <w:rFonts w:ascii="Bookman Old Style" w:hAnsi="Bookman Old Style" w:cs="Arial"/>
          <w:sz w:val="28"/>
          <w:szCs w:val="28"/>
        </w:rPr>
        <w:t xml:space="preserve">cobertura. Además, se fijaron las condiciones y requisitos para una eventual reclamación. </w:t>
      </w:r>
    </w:p>
    <w:p w:rsidR="00CC5BF8" w:rsidRDefault="00CC5BF8" w:rsidP="00305720">
      <w:pPr>
        <w:spacing w:line="360" w:lineRule="auto"/>
        <w:jc w:val="both"/>
        <w:rPr>
          <w:rFonts w:ascii="Bookman Old Style" w:hAnsi="Bookman Old Style" w:cs="Arial"/>
          <w:sz w:val="28"/>
          <w:szCs w:val="28"/>
        </w:rPr>
      </w:pPr>
    </w:p>
    <w:p w:rsidR="00CC5BF8" w:rsidRDefault="00CC5BF8" w:rsidP="00305720">
      <w:pPr>
        <w:spacing w:line="360" w:lineRule="auto"/>
        <w:jc w:val="both"/>
        <w:rPr>
          <w:rFonts w:ascii="Bookman Old Style" w:hAnsi="Bookman Old Style" w:cs="Arial"/>
          <w:sz w:val="28"/>
          <w:szCs w:val="28"/>
        </w:rPr>
      </w:pPr>
      <w:r>
        <w:rPr>
          <w:rFonts w:ascii="Bookman Old Style" w:hAnsi="Bookman Old Style" w:cs="Arial"/>
          <w:sz w:val="28"/>
          <w:szCs w:val="28"/>
        </w:rPr>
        <w:tab/>
        <w:t>1.3. La demandante sufrió la enfermedad que, luego de la valoración correspondiente, fue calificada de ‘</w:t>
      </w:r>
      <w:r w:rsidRPr="00310063">
        <w:rPr>
          <w:rFonts w:ascii="Bookman Old Style" w:hAnsi="Bookman Old Style" w:cs="Arial"/>
          <w:i/>
          <w:sz w:val="28"/>
          <w:szCs w:val="28"/>
        </w:rPr>
        <w:t>síndrome doloroso  crónico de miembro superior  derecho  y síndrome regional complejo MSD</w:t>
      </w:r>
      <w:r>
        <w:rPr>
          <w:rFonts w:ascii="Bookman Old Style" w:hAnsi="Bookman Old Style" w:cs="Arial"/>
          <w:sz w:val="28"/>
          <w:szCs w:val="28"/>
        </w:rPr>
        <w:t>’, patología que los médicos expertos en salud ocupacion</w:t>
      </w:r>
      <w:r w:rsidR="00225D68">
        <w:rPr>
          <w:rFonts w:ascii="Bookman Old Style" w:hAnsi="Bookman Old Style" w:cs="Arial"/>
          <w:sz w:val="28"/>
          <w:szCs w:val="28"/>
        </w:rPr>
        <w:t>al</w:t>
      </w:r>
      <w:r>
        <w:rPr>
          <w:rFonts w:ascii="Bookman Old Style" w:hAnsi="Bookman Old Style" w:cs="Arial"/>
          <w:sz w:val="28"/>
          <w:szCs w:val="28"/>
        </w:rPr>
        <w:t xml:space="preserve"> y laboral</w:t>
      </w:r>
      <w:r w:rsidR="00225D68">
        <w:rPr>
          <w:rFonts w:ascii="Bookman Old Style" w:hAnsi="Bookman Old Style" w:cs="Arial"/>
          <w:sz w:val="28"/>
          <w:szCs w:val="28"/>
        </w:rPr>
        <w:t xml:space="preserve">, </w:t>
      </w:r>
      <w:r>
        <w:rPr>
          <w:rFonts w:ascii="Bookman Old Style" w:hAnsi="Bookman Old Style" w:cs="Arial"/>
          <w:sz w:val="28"/>
          <w:szCs w:val="28"/>
        </w:rPr>
        <w:t xml:space="preserve">le </w:t>
      </w:r>
      <w:r w:rsidR="00225D68">
        <w:rPr>
          <w:rFonts w:ascii="Bookman Old Style" w:hAnsi="Bookman Old Style" w:cs="Arial"/>
          <w:sz w:val="28"/>
          <w:szCs w:val="28"/>
        </w:rPr>
        <w:t>dictaminaron</w:t>
      </w:r>
      <w:r>
        <w:rPr>
          <w:rFonts w:ascii="Bookman Old Style" w:hAnsi="Bookman Old Style" w:cs="Arial"/>
          <w:sz w:val="28"/>
          <w:szCs w:val="28"/>
        </w:rPr>
        <w:t xml:space="preserve"> una incapacidad superior al 50%. </w:t>
      </w:r>
    </w:p>
    <w:p w:rsidR="00CC5BF8" w:rsidRDefault="00CC5BF8" w:rsidP="00305720">
      <w:pPr>
        <w:spacing w:line="360" w:lineRule="auto"/>
        <w:jc w:val="both"/>
        <w:rPr>
          <w:rFonts w:ascii="Bookman Old Style" w:hAnsi="Bookman Old Style" w:cs="Arial"/>
          <w:sz w:val="28"/>
          <w:szCs w:val="28"/>
        </w:rPr>
      </w:pPr>
    </w:p>
    <w:p w:rsidR="00305720" w:rsidRDefault="00305720" w:rsidP="00305720">
      <w:pPr>
        <w:spacing w:line="360" w:lineRule="auto"/>
        <w:jc w:val="both"/>
        <w:rPr>
          <w:rFonts w:ascii="Bookman Old Style" w:hAnsi="Bookman Old Style" w:cs="Arial"/>
          <w:sz w:val="28"/>
          <w:szCs w:val="28"/>
        </w:rPr>
      </w:pPr>
      <w:r>
        <w:rPr>
          <w:rFonts w:ascii="Bookman Old Style" w:hAnsi="Bookman Old Style" w:cs="Arial"/>
          <w:sz w:val="28"/>
          <w:szCs w:val="28"/>
        </w:rPr>
        <w:t xml:space="preserve"> </w:t>
      </w:r>
      <w:r w:rsidR="00CC5BF8">
        <w:rPr>
          <w:rFonts w:ascii="Bookman Old Style" w:hAnsi="Bookman Old Style" w:cs="Arial"/>
          <w:sz w:val="28"/>
          <w:szCs w:val="28"/>
        </w:rPr>
        <w:tab/>
        <w:t xml:space="preserve">1.4. No obstante esta descripción médica, la compañía de seguros demandada, una vez le fue presentada la </w:t>
      </w:r>
      <w:r w:rsidR="00310063">
        <w:rPr>
          <w:rFonts w:ascii="Bookman Old Style" w:hAnsi="Bookman Old Style" w:cs="Arial"/>
          <w:sz w:val="28"/>
          <w:szCs w:val="28"/>
        </w:rPr>
        <w:t xml:space="preserve">correspondiente </w:t>
      </w:r>
      <w:r w:rsidR="00CC5BF8">
        <w:rPr>
          <w:rFonts w:ascii="Bookman Old Style" w:hAnsi="Bookman Old Style" w:cs="Arial"/>
          <w:sz w:val="28"/>
          <w:szCs w:val="28"/>
        </w:rPr>
        <w:t xml:space="preserve">reclamación, se negó a reconocer la indemnización </w:t>
      </w:r>
      <w:r w:rsidR="00310063">
        <w:rPr>
          <w:rFonts w:ascii="Bookman Old Style" w:hAnsi="Bookman Old Style" w:cs="Arial"/>
          <w:sz w:val="28"/>
          <w:szCs w:val="28"/>
        </w:rPr>
        <w:t>del caso</w:t>
      </w:r>
      <w:r w:rsidR="00CC5BF8">
        <w:rPr>
          <w:rFonts w:ascii="Bookman Old Style" w:hAnsi="Bookman Old Style" w:cs="Arial"/>
          <w:sz w:val="28"/>
          <w:szCs w:val="28"/>
        </w:rPr>
        <w:t xml:space="preserve">. </w:t>
      </w:r>
    </w:p>
    <w:p w:rsidR="00CC5BF8" w:rsidRDefault="00CC5BF8" w:rsidP="00305720">
      <w:pPr>
        <w:spacing w:line="360" w:lineRule="auto"/>
        <w:jc w:val="both"/>
        <w:rPr>
          <w:rFonts w:ascii="Bookman Old Style" w:hAnsi="Bookman Old Style" w:cs="Arial"/>
          <w:sz w:val="28"/>
          <w:szCs w:val="28"/>
        </w:rPr>
      </w:pPr>
    </w:p>
    <w:p w:rsidR="00305720" w:rsidRDefault="00305720" w:rsidP="00CC5BF8">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2. </w:t>
      </w:r>
      <w:r w:rsidR="00CC5BF8">
        <w:rPr>
          <w:rFonts w:ascii="Bookman Old Style" w:hAnsi="Bookman Old Style" w:cs="Arial"/>
          <w:sz w:val="28"/>
          <w:szCs w:val="28"/>
        </w:rPr>
        <w:t>Teniendo en cuenta esos precedentes, la accionante solicitó de la judicatura que declarara a la empresa aseguradora responsable</w:t>
      </w:r>
      <w:r w:rsidR="00310063">
        <w:rPr>
          <w:rFonts w:ascii="Bookman Old Style" w:hAnsi="Bookman Old Style" w:cs="Arial"/>
          <w:sz w:val="28"/>
          <w:szCs w:val="28"/>
        </w:rPr>
        <w:t>,</w:t>
      </w:r>
      <w:r w:rsidR="00CC5BF8">
        <w:rPr>
          <w:rFonts w:ascii="Bookman Old Style" w:hAnsi="Bookman Old Style" w:cs="Arial"/>
          <w:sz w:val="28"/>
          <w:szCs w:val="28"/>
        </w:rPr>
        <w:t xml:space="preserve"> contractualmente</w:t>
      </w:r>
      <w:r w:rsidR="00310063">
        <w:rPr>
          <w:rFonts w:ascii="Bookman Old Style" w:hAnsi="Bookman Old Style" w:cs="Arial"/>
          <w:sz w:val="28"/>
          <w:szCs w:val="28"/>
        </w:rPr>
        <w:t>,</w:t>
      </w:r>
      <w:r w:rsidR="00CC5BF8">
        <w:rPr>
          <w:rFonts w:ascii="Bookman Old Style" w:hAnsi="Bookman Old Style" w:cs="Arial"/>
          <w:sz w:val="28"/>
          <w:szCs w:val="28"/>
        </w:rPr>
        <w:t xml:space="preserve"> de la prestación </w:t>
      </w:r>
      <w:r w:rsidR="00225D68">
        <w:rPr>
          <w:rFonts w:ascii="Bookman Old Style" w:hAnsi="Bookman Old Style" w:cs="Arial"/>
          <w:sz w:val="28"/>
          <w:szCs w:val="28"/>
        </w:rPr>
        <w:t>referida</w:t>
      </w:r>
      <w:r w:rsidR="00CC5BF8">
        <w:rPr>
          <w:rFonts w:ascii="Bookman Old Style" w:hAnsi="Bookman Old Style" w:cs="Arial"/>
          <w:sz w:val="28"/>
          <w:szCs w:val="28"/>
        </w:rPr>
        <w:t xml:space="preserve"> y, por consiguiente</w:t>
      </w:r>
      <w:r w:rsidR="000F7ABA">
        <w:rPr>
          <w:rFonts w:ascii="Bookman Old Style" w:hAnsi="Bookman Old Style" w:cs="Arial"/>
          <w:sz w:val="28"/>
          <w:szCs w:val="28"/>
        </w:rPr>
        <w:t>,</w:t>
      </w:r>
      <w:r w:rsidR="00CC5BF8">
        <w:rPr>
          <w:rFonts w:ascii="Bookman Old Style" w:hAnsi="Bookman Old Style" w:cs="Arial"/>
          <w:sz w:val="28"/>
          <w:szCs w:val="28"/>
        </w:rPr>
        <w:t xml:space="preserve"> la condenara al pago de la obligación asumida.</w:t>
      </w:r>
    </w:p>
    <w:p w:rsidR="00305720" w:rsidRDefault="00305720" w:rsidP="000F7ABA">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t xml:space="preserve">3. </w:t>
      </w:r>
      <w:r w:rsidR="000F7ABA">
        <w:rPr>
          <w:rFonts w:ascii="Bookman Old Style" w:hAnsi="Bookman Old Style" w:cs="Arial"/>
          <w:sz w:val="28"/>
          <w:szCs w:val="28"/>
        </w:rPr>
        <w:t xml:space="preserve">El escrito demandatorio fue dirigido al juez civil municipal de </w:t>
      </w:r>
      <w:r w:rsidR="008C27FA">
        <w:rPr>
          <w:rFonts w:ascii="Bookman Old Style" w:hAnsi="Bookman Old Style" w:cs="Arial"/>
          <w:sz w:val="28"/>
          <w:szCs w:val="28"/>
        </w:rPr>
        <w:t>r</w:t>
      </w:r>
      <w:r w:rsidR="000F7ABA">
        <w:rPr>
          <w:rFonts w:ascii="Bookman Old Style" w:hAnsi="Bookman Old Style" w:cs="Arial"/>
          <w:sz w:val="28"/>
          <w:szCs w:val="28"/>
        </w:rPr>
        <w:t>eparto en la ciudad de Pereira</w:t>
      </w:r>
      <w:r w:rsidR="008C27FA">
        <w:rPr>
          <w:rFonts w:ascii="Bookman Old Style" w:hAnsi="Bookman Old Style" w:cs="Arial"/>
          <w:sz w:val="28"/>
          <w:szCs w:val="28"/>
        </w:rPr>
        <w:t xml:space="preserve">, siendo </w:t>
      </w:r>
      <w:r w:rsidR="000F7ABA">
        <w:rPr>
          <w:rFonts w:ascii="Bookman Old Style" w:hAnsi="Bookman Old Style" w:cs="Arial"/>
          <w:sz w:val="28"/>
          <w:szCs w:val="28"/>
        </w:rPr>
        <w:t>asignado al Juzgado Octavo</w:t>
      </w:r>
      <w:r w:rsidR="00310063">
        <w:rPr>
          <w:rFonts w:ascii="Bookman Old Style" w:hAnsi="Bookman Old Style" w:cs="Arial"/>
          <w:sz w:val="28"/>
          <w:szCs w:val="28"/>
        </w:rPr>
        <w:t xml:space="preserve"> de esa especialidad y categoría</w:t>
      </w:r>
      <w:r w:rsidR="000F7ABA">
        <w:rPr>
          <w:rFonts w:ascii="Bookman Old Style" w:hAnsi="Bookman Old Style" w:cs="Arial"/>
          <w:sz w:val="28"/>
          <w:szCs w:val="28"/>
        </w:rPr>
        <w:t xml:space="preserve">. </w:t>
      </w:r>
    </w:p>
    <w:p w:rsidR="000F7ABA" w:rsidRDefault="000F7ABA" w:rsidP="000F7ABA">
      <w:pPr>
        <w:spacing w:line="360" w:lineRule="auto"/>
        <w:jc w:val="both"/>
        <w:rPr>
          <w:rFonts w:ascii="Bookman Old Style" w:hAnsi="Bookman Old Style" w:cs="Arial"/>
          <w:sz w:val="28"/>
          <w:szCs w:val="28"/>
        </w:rPr>
      </w:pPr>
    </w:p>
    <w:p w:rsidR="00305720" w:rsidRDefault="000F7ABA" w:rsidP="00305720">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El veintiuno (21) de abril de dos mil catorce (2014), </w:t>
      </w:r>
      <w:r w:rsidR="006F4037">
        <w:rPr>
          <w:rFonts w:ascii="Bookman Old Style" w:hAnsi="Bookman Old Style" w:cs="Arial"/>
          <w:sz w:val="28"/>
          <w:szCs w:val="28"/>
        </w:rPr>
        <w:t xml:space="preserve">dicho despacho rechazó la demanda aduciendo carecer de la competencia </w:t>
      </w:r>
      <w:r w:rsidR="008C27FA">
        <w:rPr>
          <w:rFonts w:ascii="Bookman Old Style" w:hAnsi="Bookman Old Style" w:cs="Arial"/>
          <w:sz w:val="28"/>
          <w:szCs w:val="28"/>
        </w:rPr>
        <w:t>atribuida</w:t>
      </w:r>
      <w:r w:rsidR="006F4037">
        <w:rPr>
          <w:rFonts w:ascii="Bookman Old Style" w:hAnsi="Bookman Old Style" w:cs="Arial"/>
          <w:sz w:val="28"/>
          <w:szCs w:val="28"/>
        </w:rPr>
        <w:t xml:space="preserve">. Su titular sostuvo que </w:t>
      </w:r>
      <w:r w:rsidR="006C3880">
        <w:rPr>
          <w:rFonts w:ascii="Bookman Old Style" w:hAnsi="Bookman Old Style" w:cs="Arial"/>
          <w:sz w:val="28"/>
          <w:szCs w:val="28"/>
        </w:rPr>
        <w:t xml:space="preserve">el domicilio de la aseguradora era la ciudad de Bogotá y, por tanto, aplicando el numeral 1º del artículo 23 del C. de P.C., quienes debían conocer del asunto eran los jueces de la Capital. Bajo ese argumento decidió remitir el expediente  a esta ciudad y, efectivamente, así </w:t>
      </w:r>
      <w:r w:rsidR="00310063">
        <w:rPr>
          <w:rFonts w:ascii="Bookman Old Style" w:hAnsi="Bookman Old Style" w:cs="Arial"/>
          <w:sz w:val="28"/>
          <w:szCs w:val="28"/>
        </w:rPr>
        <w:t>procedió</w:t>
      </w:r>
      <w:r w:rsidR="006C3880">
        <w:rPr>
          <w:rFonts w:ascii="Bookman Old Style" w:hAnsi="Bookman Old Style" w:cs="Arial"/>
          <w:sz w:val="28"/>
          <w:szCs w:val="28"/>
        </w:rPr>
        <w:t xml:space="preserve">. </w:t>
      </w:r>
    </w:p>
    <w:p w:rsidR="006C3880" w:rsidRDefault="006C3880" w:rsidP="00305720">
      <w:pPr>
        <w:spacing w:line="360" w:lineRule="auto"/>
        <w:jc w:val="both"/>
        <w:rPr>
          <w:rFonts w:ascii="Bookman Old Style" w:hAnsi="Bookman Old Style" w:cs="Arial"/>
          <w:sz w:val="28"/>
          <w:szCs w:val="28"/>
        </w:rPr>
      </w:pPr>
    </w:p>
    <w:p w:rsidR="006C3880" w:rsidRDefault="00305720" w:rsidP="00305720">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4. El Juzgado </w:t>
      </w:r>
      <w:r w:rsidR="006C3880">
        <w:rPr>
          <w:rFonts w:ascii="Bookman Old Style" w:hAnsi="Bookman Old Style" w:cs="Arial"/>
          <w:sz w:val="28"/>
          <w:szCs w:val="28"/>
        </w:rPr>
        <w:t>Sesenta y Seis</w:t>
      </w:r>
      <w:r>
        <w:rPr>
          <w:rFonts w:ascii="Bookman Old Style" w:hAnsi="Bookman Old Style" w:cs="Arial"/>
          <w:sz w:val="28"/>
          <w:szCs w:val="28"/>
        </w:rPr>
        <w:t xml:space="preserve"> Civil Municipal</w:t>
      </w:r>
      <w:r w:rsidR="006C3880">
        <w:rPr>
          <w:rFonts w:ascii="Bookman Old Style" w:hAnsi="Bookman Old Style" w:cs="Arial"/>
          <w:sz w:val="28"/>
          <w:szCs w:val="28"/>
        </w:rPr>
        <w:t xml:space="preserve">, oficina judicial a la que le correspondieron las diligencias remitidas, </w:t>
      </w:r>
      <w:r>
        <w:rPr>
          <w:rFonts w:ascii="Bookman Old Style" w:hAnsi="Bookman Old Style" w:cs="Arial"/>
          <w:sz w:val="28"/>
          <w:szCs w:val="28"/>
        </w:rPr>
        <w:t xml:space="preserve">rehusó </w:t>
      </w:r>
      <w:r w:rsidR="006C3880">
        <w:rPr>
          <w:rFonts w:ascii="Bookman Old Style" w:hAnsi="Bookman Old Style" w:cs="Arial"/>
          <w:sz w:val="28"/>
          <w:szCs w:val="28"/>
        </w:rPr>
        <w:t>asumir el conocimiento del pleito. Manifestó que si bien la sociedad llamada a proceso tiene su domicilio en Bogotá, la controversia surgió alrededor de un contrato de seguro y, por tanto, resultaba posible aplicar la regla inserta en el numeral 5º del referido artículo 23 del C.P.C. En ese orden, el ac</w:t>
      </w:r>
      <w:r w:rsidR="008C27FA">
        <w:rPr>
          <w:rFonts w:ascii="Bookman Old Style" w:hAnsi="Bookman Old Style" w:cs="Arial"/>
          <w:sz w:val="28"/>
          <w:szCs w:val="28"/>
        </w:rPr>
        <w:t>tor estaba autorizado</w:t>
      </w:r>
      <w:r w:rsidR="006C3880">
        <w:rPr>
          <w:rFonts w:ascii="Bookman Old Style" w:hAnsi="Bookman Old Style" w:cs="Arial"/>
          <w:sz w:val="28"/>
          <w:szCs w:val="28"/>
        </w:rPr>
        <w:t xml:space="preserve"> </w:t>
      </w:r>
      <w:r w:rsidR="00310063">
        <w:rPr>
          <w:rFonts w:ascii="Bookman Old Style" w:hAnsi="Bookman Old Style" w:cs="Arial"/>
          <w:sz w:val="28"/>
          <w:szCs w:val="28"/>
        </w:rPr>
        <w:t xml:space="preserve">para </w:t>
      </w:r>
      <w:r w:rsidR="006C3880">
        <w:rPr>
          <w:rFonts w:ascii="Bookman Old Style" w:hAnsi="Bookman Old Style" w:cs="Arial"/>
          <w:sz w:val="28"/>
          <w:szCs w:val="28"/>
        </w:rPr>
        <w:t xml:space="preserve">escoger el domicilio del demandado o el contractual y, al dirigir la demanda a los jueces de Pereira, era claro que por la segunda opción se había inclinado. </w:t>
      </w:r>
    </w:p>
    <w:p w:rsidR="006C3880" w:rsidRDefault="006C3880" w:rsidP="00305720">
      <w:pPr>
        <w:spacing w:line="360" w:lineRule="auto"/>
        <w:jc w:val="both"/>
        <w:rPr>
          <w:rFonts w:ascii="Bookman Old Style" w:hAnsi="Bookman Old Style" w:cs="Arial"/>
          <w:sz w:val="28"/>
          <w:szCs w:val="28"/>
        </w:rPr>
      </w:pPr>
    </w:p>
    <w:p w:rsidR="006C3880" w:rsidRDefault="006C3880" w:rsidP="00305720">
      <w:pPr>
        <w:spacing w:line="360" w:lineRule="auto"/>
        <w:jc w:val="both"/>
        <w:rPr>
          <w:rFonts w:ascii="Bookman Old Style" w:hAnsi="Bookman Old Style" w:cs="Arial"/>
          <w:sz w:val="28"/>
          <w:szCs w:val="28"/>
        </w:rPr>
      </w:pPr>
      <w:r>
        <w:rPr>
          <w:rFonts w:ascii="Bookman Old Style" w:hAnsi="Bookman Old Style" w:cs="Arial"/>
          <w:sz w:val="28"/>
          <w:szCs w:val="28"/>
        </w:rPr>
        <w:tab/>
        <w:t>Siendo esa la esencia de la motivación para declinar conocer del asunto, generó el conflicto que ocupa a la Corte.</w:t>
      </w:r>
    </w:p>
    <w:p w:rsidR="006C3880" w:rsidRDefault="006C3880" w:rsidP="00305720">
      <w:pPr>
        <w:spacing w:line="360" w:lineRule="auto"/>
        <w:jc w:val="both"/>
        <w:rPr>
          <w:rFonts w:ascii="Bookman Old Style" w:hAnsi="Bookman Old Style" w:cs="Arial"/>
          <w:sz w:val="28"/>
          <w:szCs w:val="28"/>
        </w:rPr>
      </w:pPr>
    </w:p>
    <w:p w:rsidR="00305720" w:rsidRDefault="006C3880" w:rsidP="00305720">
      <w:pPr>
        <w:spacing w:line="360" w:lineRule="auto"/>
        <w:jc w:val="both"/>
        <w:rPr>
          <w:i/>
          <w:sz w:val="28"/>
          <w:szCs w:val="28"/>
        </w:rPr>
      </w:pPr>
      <w:r>
        <w:rPr>
          <w:rFonts w:ascii="Bookman Old Style" w:hAnsi="Bookman Old Style" w:cs="Arial"/>
          <w:sz w:val="28"/>
          <w:szCs w:val="28"/>
        </w:rPr>
        <w:t xml:space="preserve"> </w:t>
      </w:r>
      <w:r w:rsidR="00305720">
        <w:rPr>
          <w:rFonts w:ascii="Bookman Old Style" w:hAnsi="Bookman Old Style" w:cs="Arial"/>
          <w:sz w:val="28"/>
          <w:szCs w:val="28"/>
        </w:rPr>
        <w:tab/>
        <w:t xml:space="preserve">5. </w:t>
      </w:r>
      <w:r w:rsidR="00305720" w:rsidRPr="00274091">
        <w:rPr>
          <w:rFonts w:ascii="Bookman Old Style" w:hAnsi="Bookman Old Style"/>
          <w:sz w:val="28"/>
          <w:szCs w:val="28"/>
        </w:rPr>
        <w:t>El trámite previsto ante esta Corporación fue agotado a plenitud.</w:t>
      </w:r>
    </w:p>
    <w:p w:rsidR="00305720" w:rsidRPr="001D01C7" w:rsidRDefault="00305720" w:rsidP="00305720">
      <w:pPr>
        <w:pStyle w:val="Estilo2"/>
        <w:spacing w:line="360" w:lineRule="auto"/>
        <w:jc w:val="center"/>
        <w:rPr>
          <w:b/>
          <w:i w:val="0"/>
          <w:sz w:val="28"/>
          <w:szCs w:val="28"/>
        </w:rPr>
      </w:pPr>
      <w:r w:rsidRPr="001D01C7">
        <w:rPr>
          <w:b/>
          <w:i w:val="0"/>
          <w:sz w:val="28"/>
          <w:szCs w:val="28"/>
        </w:rPr>
        <w:lastRenderedPageBreak/>
        <w:t>II CONSIDERACIONES</w:t>
      </w:r>
    </w:p>
    <w:p w:rsidR="00305720" w:rsidRPr="001D01C7" w:rsidRDefault="00305720" w:rsidP="00305720">
      <w:pPr>
        <w:pStyle w:val="Estilo2"/>
        <w:spacing w:line="360" w:lineRule="auto"/>
        <w:jc w:val="center"/>
        <w:rPr>
          <w:b/>
          <w:i w:val="0"/>
          <w:sz w:val="28"/>
          <w:szCs w:val="28"/>
        </w:rPr>
      </w:pPr>
    </w:p>
    <w:p w:rsidR="007F0472" w:rsidRDefault="00305720" w:rsidP="00305720">
      <w:pPr>
        <w:spacing w:line="360" w:lineRule="auto"/>
        <w:jc w:val="both"/>
        <w:rPr>
          <w:rFonts w:ascii="Bookman Old Style" w:hAnsi="Bookman Old Style"/>
          <w:sz w:val="28"/>
          <w:szCs w:val="28"/>
        </w:rPr>
      </w:pPr>
      <w:r w:rsidRPr="001D01C7">
        <w:rPr>
          <w:rFonts w:ascii="Bookman Old Style" w:hAnsi="Bookman Old Style"/>
          <w:sz w:val="28"/>
          <w:szCs w:val="28"/>
        </w:rPr>
        <w:t xml:space="preserve">        1. </w:t>
      </w:r>
      <w:r w:rsidR="007F0472">
        <w:rPr>
          <w:rFonts w:ascii="Bookman Old Style" w:hAnsi="Bookman Old Style"/>
          <w:sz w:val="28"/>
          <w:szCs w:val="28"/>
        </w:rPr>
        <w:t>Según la narración efectuada, es evidente que  la controversia traída a esta Corporación involucra a dos jueces de la República de diferente Distrito Judicial, razón por la cual</w:t>
      </w:r>
      <w:r w:rsidR="008D441F">
        <w:rPr>
          <w:rFonts w:ascii="Bookman Old Style" w:hAnsi="Bookman Old Style"/>
          <w:sz w:val="28"/>
          <w:szCs w:val="28"/>
        </w:rPr>
        <w:t>,</w:t>
      </w:r>
      <w:r w:rsidR="007F0472">
        <w:rPr>
          <w:rFonts w:ascii="Bookman Old Style" w:hAnsi="Bookman Old Style"/>
          <w:sz w:val="28"/>
          <w:szCs w:val="28"/>
        </w:rPr>
        <w:t xml:space="preserve"> </w:t>
      </w:r>
      <w:r>
        <w:rPr>
          <w:rFonts w:ascii="Bookman Old Style" w:hAnsi="Bookman Old Style"/>
          <w:sz w:val="28"/>
          <w:szCs w:val="28"/>
        </w:rPr>
        <w:t>la Corte Suprema de Justicia</w:t>
      </w:r>
      <w:r w:rsidR="008D441F">
        <w:rPr>
          <w:rFonts w:ascii="Bookman Old Style" w:hAnsi="Bookman Old Style"/>
          <w:sz w:val="28"/>
          <w:szCs w:val="28"/>
        </w:rPr>
        <w:t>,</w:t>
      </w:r>
      <w:r w:rsidR="007F0472">
        <w:rPr>
          <w:rFonts w:ascii="Bookman Old Style" w:hAnsi="Bookman Old Style"/>
          <w:sz w:val="28"/>
          <w:szCs w:val="28"/>
        </w:rPr>
        <w:t xml:space="preserve"> es la llamada a definir dicha confrontación. </w:t>
      </w:r>
      <w:r>
        <w:rPr>
          <w:rFonts w:ascii="Bookman Old Style" w:hAnsi="Bookman Old Style"/>
          <w:sz w:val="28"/>
          <w:szCs w:val="28"/>
        </w:rPr>
        <w:t xml:space="preserve"> </w:t>
      </w:r>
      <w:r w:rsidR="007F0472">
        <w:rPr>
          <w:rFonts w:ascii="Bookman Old Style" w:hAnsi="Bookman Old Style"/>
          <w:sz w:val="28"/>
          <w:szCs w:val="28"/>
        </w:rPr>
        <w:t xml:space="preserve">Así lo regulan, expresamente, </w:t>
      </w:r>
      <w:r w:rsidRPr="001D01C7">
        <w:rPr>
          <w:rFonts w:ascii="Bookman Old Style" w:hAnsi="Bookman Old Style"/>
          <w:sz w:val="28"/>
          <w:szCs w:val="28"/>
        </w:rPr>
        <w:t>los artículos 7º de la Ley 1285 de 2009, reformatorio del artículo 16 de la Ley 270 de 1996, Estatutaria de la Administración de Justicia y, el 28 del Código de Procedimiento Civil</w:t>
      </w:r>
      <w:r w:rsidR="007F0472">
        <w:rPr>
          <w:rFonts w:ascii="Bookman Old Style" w:hAnsi="Bookman Old Style"/>
          <w:sz w:val="28"/>
          <w:szCs w:val="28"/>
        </w:rPr>
        <w:t>.</w:t>
      </w:r>
    </w:p>
    <w:p w:rsidR="007F0472" w:rsidRDefault="007F0472" w:rsidP="00305720">
      <w:pPr>
        <w:spacing w:line="360" w:lineRule="auto"/>
        <w:jc w:val="both"/>
        <w:rPr>
          <w:rFonts w:ascii="Bookman Old Style" w:hAnsi="Bookman Old Style"/>
          <w:sz w:val="28"/>
          <w:szCs w:val="28"/>
        </w:rPr>
      </w:pPr>
    </w:p>
    <w:p w:rsidR="007F0472" w:rsidRDefault="007F0472" w:rsidP="00305720">
      <w:pPr>
        <w:spacing w:line="360" w:lineRule="auto"/>
        <w:jc w:val="both"/>
        <w:rPr>
          <w:rFonts w:ascii="Bookman Old Style" w:hAnsi="Bookman Old Style"/>
          <w:sz w:val="28"/>
          <w:szCs w:val="28"/>
        </w:rPr>
      </w:pPr>
      <w:r>
        <w:rPr>
          <w:rFonts w:ascii="Bookman Old Style" w:hAnsi="Bookman Old Style"/>
          <w:sz w:val="28"/>
          <w:szCs w:val="28"/>
        </w:rPr>
        <w:tab/>
        <w:t xml:space="preserve">No sobra advertir que por la época en que surgió la disputa sobre la competencia, las normas señaladas precedentemente son las que gobiernan la resolución pertinente. </w:t>
      </w:r>
    </w:p>
    <w:p w:rsidR="007F0472" w:rsidRDefault="007F0472" w:rsidP="00305720">
      <w:pPr>
        <w:spacing w:line="360" w:lineRule="auto"/>
        <w:jc w:val="both"/>
        <w:rPr>
          <w:rFonts w:ascii="Bookman Old Style" w:hAnsi="Bookman Old Style"/>
          <w:sz w:val="28"/>
          <w:szCs w:val="28"/>
        </w:rPr>
      </w:pPr>
    </w:p>
    <w:p w:rsidR="005A1D39" w:rsidRDefault="00305720" w:rsidP="008B3CB9">
      <w:pPr>
        <w:spacing w:line="360" w:lineRule="auto"/>
        <w:jc w:val="both"/>
        <w:rPr>
          <w:rFonts w:ascii="Bookman Old Style" w:hAnsi="Bookman Old Style"/>
          <w:sz w:val="28"/>
          <w:szCs w:val="28"/>
        </w:rPr>
      </w:pPr>
      <w:r>
        <w:rPr>
          <w:rFonts w:ascii="Bookman Old Style" w:hAnsi="Bookman Old Style"/>
          <w:sz w:val="28"/>
          <w:szCs w:val="28"/>
        </w:rPr>
        <w:tab/>
        <w:t>2.</w:t>
      </w:r>
      <w:r w:rsidR="00A7026F" w:rsidRPr="00A7026F">
        <w:rPr>
          <w:rFonts w:ascii="Bookman Old Style" w:hAnsi="Bookman Old Style"/>
          <w:sz w:val="28"/>
          <w:szCs w:val="28"/>
        </w:rPr>
        <w:t xml:space="preserve"> </w:t>
      </w:r>
      <w:r w:rsidR="008B3CB9">
        <w:rPr>
          <w:rFonts w:ascii="Bookman Old Style" w:hAnsi="Bookman Old Style"/>
          <w:sz w:val="28"/>
          <w:szCs w:val="28"/>
        </w:rPr>
        <w:t xml:space="preserve">La selección del juez que deba asumir el conocimiento de un determinado litigio, por sabido se tiene, opera a partir de observar las reglas que sobre el particular ha establecido la </w:t>
      </w:r>
      <w:r>
        <w:rPr>
          <w:rFonts w:ascii="Bookman Old Style" w:hAnsi="Bookman Old Style"/>
          <w:sz w:val="28"/>
          <w:szCs w:val="28"/>
        </w:rPr>
        <w:t>normatividad procesal civil</w:t>
      </w:r>
      <w:r w:rsidR="00253D4A">
        <w:rPr>
          <w:rFonts w:ascii="Bookman Old Style" w:hAnsi="Bookman Old Style"/>
          <w:sz w:val="28"/>
          <w:szCs w:val="28"/>
        </w:rPr>
        <w:t xml:space="preserve">, pautas que </w:t>
      </w:r>
      <w:r w:rsidR="00D51919">
        <w:rPr>
          <w:rFonts w:ascii="Bookman Old Style" w:hAnsi="Bookman Old Style"/>
          <w:sz w:val="28"/>
          <w:szCs w:val="28"/>
        </w:rPr>
        <w:t xml:space="preserve">la doctrina y la jurisprudencia </w:t>
      </w:r>
      <w:r w:rsidR="00253D4A">
        <w:rPr>
          <w:rFonts w:ascii="Bookman Old Style" w:hAnsi="Bookman Old Style"/>
          <w:sz w:val="28"/>
          <w:szCs w:val="28"/>
        </w:rPr>
        <w:t xml:space="preserve">han dado en llamar </w:t>
      </w:r>
      <w:r w:rsidR="00D51919">
        <w:rPr>
          <w:rFonts w:ascii="Bookman Old Style" w:hAnsi="Bookman Old Style"/>
          <w:sz w:val="28"/>
          <w:szCs w:val="28"/>
        </w:rPr>
        <w:t>fueros o foros de competencia</w:t>
      </w:r>
      <w:r w:rsidR="00253D4A">
        <w:rPr>
          <w:rFonts w:ascii="Bookman Old Style" w:hAnsi="Bookman Old Style"/>
          <w:sz w:val="28"/>
          <w:szCs w:val="28"/>
        </w:rPr>
        <w:t>.</w:t>
      </w:r>
      <w:r w:rsidR="00D51919">
        <w:rPr>
          <w:rFonts w:ascii="Bookman Old Style" w:hAnsi="Bookman Old Style"/>
          <w:sz w:val="28"/>
          <w:szCs w:val="28"/>
        </w:rPr>
        <w:t xml:space="preserve"> </w:t>
      </w:r>
      <w:r w:rsidR="005A1D39">
        <w:rPr>
          <w:rFonts w:ascii="Bookman Old Style" w:hAnsi="Bookman Old Style"/>
          <w:sz w:val="28"/>
          <w:szCs w:val="28"/>
        </w:rPr>
        <w:t xml:space="preserve">Esas </w:t>
      </w:r>
      <w:r w:rsidR="008B3CB9">
        <w:rPr>
          <w:rFonts w:ascii="Bookman Old Style" w:hAnsi="Bookman Old Style"/>
          <w:sz w:val="28"/>
          <w:szCs w:val="28"/>
        </w:rPr>
        <w:t>directrices</w:t>
      </w:r>
      <w:r w:rsidR="005A1D39">
        <w:rPr>
          <w:rFonts w:ascii="Bookman Old Style" w:hAnsi="Bookman Old Style"/>
          <w:sz w:val="28"/>
          <w:szCs w:val="28"/>
        </w:rPr>
        <w:t xml:space="preserve"> conciernen c</w:t>
      </w:r>
      <w:r w:rsidR="008B3CB9">
        <w:rPr>
          <w:rFonts w:ascii="Bookman Old Style" w:hAnsi="Bookman Old Style"/>
          <w:sz w:val="28"/>
          <w:szCs w:val="28"/>
        </w:rPr>
        <w:t>on algunas circunstancias que</w:t>
      </w:r>
      <w:r w:rsidR="005A1D39">
        <w:rPr>
          <w:rFonts w:ascii="Bookman Old Style" w:hAnsi="Bookman Old Style"/>
          <w:sz w:val="28"/>
          <w:szCs w:val="28"/>
        </w:rPr>
        <w:t xml:space="preserve"> son propias </w:t>
      </w:r>
      <w:r w:rsidR="00253D4A">
        <w:rPr>
          <w:rFonts w:ascii="Bookman Old Style" w:hAnsi="Bookman Old Style"/>
          <w:sz w:val="28"/>
          <w:szCs w:val="28"/>
        </w:rPr>
        <w:t>de</w:t>
      </w:r>
      <w:r w:rsidR="005A1D39">
        <w:rPr>
          <w:rFonts w:ascii="Bookman Old Style" w:hAnsi="Bookman Old Style"/>
          <w:sz w:val="28"/>
          <w:szCs w:val="28"/>
        </w:rPr>
        <w:t xml:space="preserve"> toda controversia, vr. gr., la calidad de personas que intervienen</w:t>
      </w:r>
      <w:r w:rsidR="00253D4A">
        <w:rPr>
          <w:rFonts w:ascii="Bookman Old Style" w:hAnsi="Bookman Old Style"/>
          <w:sz w:val="28"/>
          <w:szCs w:val="28"/>
        </w:rPr>
        <w:t xml:space="preserve"> (fuero subjetivo);</w:t>
      </w:r>
      <w:r w:rsidR="005A1D39">
        <w:rPr>
          <w:rFonts w:ascii="Bookman Old Style" w:hAnsi="Bookman Old Style"/>
          <w:sz w:val="28"/>
          <w:szCs w:val="28"/>
        </w:rPr>
        <w:t xml:space="preserve"> la naturaleza del asu</w:t>
      </w:r>
      <w:r w:rsidR="00253D4A">
        <w:rPr>
          <w:rFonts w:ascii="Bookman Old Style" w:hAnsi="Bookman Old Style"/>
          <w:sz w:val="28"/>
          <w:szCs w:val="28"/>
        </w:rPr>
        <w:t>nto y</w:t>
      </w:r>
      <w:r w:rsidR="005A1D39">
        <w:rPr>
          <w:rFonts w:ascii="Bookman Old Style" w:hAnsi="Bookman Old Style"/>
          <w:sz w:val="28"/>
          <w:szCs w:val="28"/>
        </w:rPr>
        <w:t xml:space="preserve"> la cuantía del mismo</w:t>
      </w:r>
      <w:r w:rsidR="00253D4A">
        <w:rPr>
          <w:rFonts w:ascii="Bookman Old Style" w:hAnsi="Bookman Old Style"/>
          <w:sz w:val="28"/>
          <w:szCs w:val="28"/>
        </w:rPr>
        <w:t xml:space="preserve"> (factor objetivo);</w:t>
      </w:r>
      <w:r w:rsidR="005A1D39">
        <w:rPr>
          <w:rFonts w:ascii="Bookman Old Style" w:hAnsi="Bookman Old Style"/>
          <w:sz w:val="28"/>
          <w:szCs w:val="28"/>
        </w:rPr>
        <w:t xml:space="preserve"> el domicilio de las partes, principalmente, el del demandado, el lugar en donde los hechos tuvieron ocurrencia, entre otr</w:t>
      </w:r>
      <w:r w:rsidR="00253D4A">
        <w:rPr>
          <w:rFonts w:ascii="Bookman Old Style" w:hAnsi="Bookman Old Style"/>
          <w:sz w:val="28"/>
          <w:szCs w:val="28"/>
        </w:rPr>
        <w:t>o</w:t>
      </w:r>
      <w:r w:rsidR="005A1D39">
        <w:rPr>
          <w:rFonts w:ascii="Bookman Old Style" w:hAnsi="Bookman Old Style"/>
          <w:sz w:val="28"/>
          <w:szCs w:val="28"/>
        </w:rPr>
        <w:t>s</w:t>
      </w:r>
      <w:r w:rsidR="00253D4A">
        <w:rPr>
          <w:rFonts w:ascii="Bookman Old Style" w:hAnsi="Bookman Old Style"/>
          <w:sz w:val="28"/>
          <w:szCs w:val="28"/>
        </w:rPr>
        <w:t xml:space="preserve"> (factor territorial)</w:t>
      </w:r>
      <w:r w:rsidR="005A1D39">
        <w:rPr>
          <w:rFonts w:ascii="Bookman Old Style" w:hAnsi="Bookman Old Style"/>
          <w:sz w:val="28"/>
          <w:szCs w:val="28"/>
        </w:rPr>
        <w:t xml:space="preserve">. En algunas oportunidades, expresamente, reguladas en </w:t>
      </w:r>
      <w:r w:rsidR="008B3CB9">
        <w:rPr>
          <w:rFonts w:ascii="Bookman Old Style" w:hAnsi="Bookman Old Style"/>
          <w:sz w:val="28"/>
          <w:szCs w:val="28"/>
        </w:rPr>
        <w:t xml:space="preserve">el </w:t>
      </w:r>
      <w:r w:rsidR="008B3CB9">
        <w:rPr>
          <w:rFonts w:ascii="Bookman Old Style" w:hAnsi="Bookman Old Style"/>
          <w:sz w:val="28"/>
          <w:szCs w:val="28"/>
        </w:rPr>
        <w:lastRenderedPageBreak/>
        <w:t>ordenamiento jurídico</w:t>
      </w:r>
      <w:r w:rsidR="005A1D39">
        <w:rPr>
          <w:rFonts w:ascii="Bookman Old Style" w:hAnsi="Bookman Old Style"/>
          <w:sz w:val="28"/>
          <w:szCs w:val="28"/>
        </w:rPr>
        <w:t>, varias de ellas, al concurrir, brindan al actor la posibilidad de optar por una u otra</w:t>
      </w:r>
      <w:r w:rsidR="005A1D39" w:rsidRPr="005A1D39">
        <w:rPr>
          <w:rFonts w:ascii="Bookman Old Style" w:hAnsi="Bookman Old Style"/>
          <w:sz w:val="28"/>
          <w:szCs w:val="28"/>
        </w:rPr>
        <w:t xml:space="preserve"> </w:t>
      </w:r>
      <w:r w:rsidR="005A1D39">
        <w:rPr>
          <w:rFonts w:ascii="Bookman Old Style" w:hAnsi="Bookman Old Style"/>
          <w:sz w:val="28"/>
          <w:szCs w:val="28"/>
        </w:rPr>
        <w:t>y, así, escoger al juez de la causa. En otros eventos, cuando la ley lo define, cualquiera de esas condiciones prevalece sobre las restantes</w:t>
      </w:r>
      <w:r w:rsidR="00253D4A">
        <w:rPr>
          <w:rFonts w:ascii="Bookman Old Style" w:hAnsi="Bookman Old Style"/>
          <w:sz w:val="28"/>
          <w:szCs w:val="28"/>
        </w:rPr>
        <w:t xml:space="preserve"> </w:t>
      </w:r>
      <w:bookmarkStart w:id="0" w:name="_GoBack"/>
      <w:r w:rsidR="00253D4A">
        <w:rPr>
          <w:rFonts w:ascii="Bookman Old Style" w:hAnsi="Bookman Old Style"/>
          <w:sz w:val="28"/>
          <w:szCs w:val="28"/>
        </w:rPr>
        <w:t>(arts. 22 y 24 del C. de P.C. y 29 C. G. del P</w:t>
      </w:r>
      <w:r w:rsidR="005A1D39">
        <w:rPr>
          <w:rFonts w:ascii="Bookman Old Style" w:hAnsi="Bookman Old Style"/>
          <w:sz w:val="28"/>
          <w:szCs w:val="28"/>
        </w:rPr>
        <w:t>.</w:t>
      </w:r>
      <w:r w:rsidR="00253D4A">
        <w:rPr>
          <w:rFonts w:ascii="Bookman Old Style" w:hAnsi="Bookman Old Style"/>
          <w:sz w:val="28"/>
          <w:szCs w:val="28"/>
        </w:rPr>
        <w:t>).</w:t>
      </w:r>
      <w:bookmarkEnd w:id="0"/>
      <w:r w:rsidR="005A1D39">
        <w:rPr>
          <w:rFonts w:ascii="Bookman Old Style" w:hAnsi="Bookman Old Style"/>
          <w:sz w:val="28"/>
          <w:szCs w:val="28"/>
        </w:rPr>
        <w:t xml:space="preserve">  </w:t>
      </w:r>
    </w:p>
    <w:p w:rsidR="005A1D39" w:rsidRDefault="005A1D39" w:rsidP="00305720">
      <w:pPr>
        <w:spacing w:line="360" w:lineRule="auto"/>
        <w:ind w:firstLine="708"/>
        <w:jc w:val="both"/>
        <w:rPr>
          <w:rFonts w:ascii="Bookman Old Style" w:hAnsi="Bookman Old Style"/>
          <w:sz w:val="28"/>
          <w:szCs w:val="28"/>
        </w:rPr>
      </w:pPr>
    </w:p>
    <w:p w:rsidR="005A1D39" w:rsidRDefault="005A1D39" w:rsidP="00305720">
      <w:pPr>
        <w:spacing w:line="360" w:lineRule="auto"/>
        <w:ind w:firstLine="708"/>
        <w:jc w:val="both"/>
        <w:rPr>
          <w:rFonts w:ascii="Bookman Old Style" w:hAnsi="Bookman Old Style"/>
          <w:sz w:val="28"/>
          <w:szCs w:val="28"/>
        </w:rPr>
      </w:pPr>
      <w:r>
        <w:rPr>
          <w:rFonts w:ascii="Bookman Old Style" w:hAnsi="Bookman Old Style"/>
          <w:sz w:val="28"/>
          <w:szCs w:val="28"/>
        </w:rPr>
        <w:t xml:space="preserve">Cuando no </w:t>
      </w:r>
      <w:r w:rsidR="008A5D0D">
        <w:rPr>
          <w:rFonts w:ascii="Bookman Old Style" w:hAnsi="Bookman Old Style"/>
          <w:sz w:val="28"/>
          <w:szCs w:val="28"/>
        </w:rPr>
        <w:t xml:space="preserve">opera esta última hipótesis, la claridad sobre cuál es el juez llamado a </w:t>
      </w:r>
      <w:r w:rsidR="008B3CB9">
        <w:rPr>
          <w:rFonts w:ascii="Bookman Old Style" w:hAnsi="Bookman Old Style"/>
          <w:sz w:val="28"/>
          <w:szCs w:val="28"/>
        </w:rPr>
        <w:t xml:space="preserve">asumir </w:t>
      </w:r>
      <w:r w:rsidR="008A5D0D">
        <w:rPr>
          <w:rFonts w:ascii="Bookman Old Style" w:hAnsi="Bookman Old Style"/>
          <w:sz w:val="28"/>
          <w:szCs w:val="28"/>
        </w:rPr>
        <w:t xml:space="preserve">el trámite del pleito, se logra a partir del domicilio del demandado, siendo esta, de manera principal, la </w:t>
      </w:r>
      <w:r w:rsidR="00253D4A">
        <w:rPr>
          <w:rFonts w:ascii="Bookman Old Style" w:hAnsi="Bookman Old Style"/>
          <w:sz w:val="28"/>
          <w:szCs w:val="28"/>
        </w:rPr>
        <w:t>orientación</w:t>
      </w:r>
      <w:r w:rsidR="008A5D0D">
        <w:rPr>
          <w:rFonts w:ascii="Bookman Old Style" w:hAnsi="Bookman Old Style"/>
          <w:sz w:val="28"/>
          <w:szCs w:val="28"/>
        </w:rPr>
        <w:t xml:space="preserve"> a observar (art. 23 C. de P.C., sustituido por el 28 del C. G. del P.). </w:t>
      </w:r>
    </w:p>
    <w:p w:rsidR="008A5D0D" w:rsidRDefault="008A5D0D" w:rsidP="00305720">
      <w:pPr>
        <w:spacing w:line="360" w:lineRule="auto"/>
        <w:ind w:firstLine="708"/>
        <w:jc w:val="both"/>
        <w:rPr>
          <w:rFonts w:ascii="Bookman Old Style" w:hAnsi="Bookman Old Style"/>
          <w:sz w:val="28"/>
          <w:szCs w:val="28"/>
        </w:rPr>
      </w:pPr>
    </w:p>
    <w:p w:rsidR="000E37E7" w:rsidRDefault="008B3CB9" w:rsidP="00305720">
      <w:pPr>
        <w:spacing w:line="360" w:lineRule="auto"/>
        <w:ind w:firstLine="708"/>
        <w:jc w:val="both"/>
        <w:rPr>
          <w:rFonts w:ascii="Bookman Old Style" w:hAnsi="Bookman Old Style"/>
          <w:sz w:val="28"/>
          <w:szCs w:val="28"/>
        </w:rPr>
      </w:pPr>
      <w:r>
        <w:rPr>
          <w:rFonts w:ascii="Bookman Old Style" w:hAnsi="Bookman Old Style"/>
          <w:sz w:val="28"/>
          <w:szCs w:val="28"/>
        </w:rPr>
        <w:t>3.</w:t>
      </w:r>
      <w:r w:rsidRPr="008B3CB9">
        <w:rPr>
          <w:rFonts w:ascii="Bookman Old Style" w:hAnsi="Bookman Old Style"/>
          <w:sz w:val="28"/>
          <w:szCs w:val="28"/>
        </w:rPr>
        <w:t xml:space="preserve"> </w:t>
      </w:r>
      <w:r>
        <w:rPr>
          <w:rFonts w:ascii="Bookman Old Style" w:hAnsi="Bookman Old Style"/>
          <w:sz w:val="28"/>
          <w:szCs w:val="28"/>
        </w:rPr>
        <w:t>De las diligencias allegadas se infiere</w:t>
      </w:r>
      <w:r w:rsidR="00E166A5">
        <w:rPr>
          <w:rFonts w:ascii="Bookman Old Style" w:hAnsi="Bookman Old Style"/>
          <w:sz w:val="28"/>
          <w:szCs w:val="28"/>
        </w:rPr>
        <w:t xml:space="preserve">: i) </w:t>
      </w:r>
      <w:r>
        <w:rPr>
          <w:rFonts w:ascii="Bookman Old Style" w:hAnsi="Bookman Old Style"/>
          <w:sz w:val="28"/>
          <w:szCs w:val="28"/>
        </w:rPr>
        <w:t>los dos funcionarios coinciden en que el domicilio de la demandada, en un principio, es el aspecto que define la competencia y el mismo está ubicado en la ciudad de Bogotá</w:t>
      </w:r>
      <w:r w:rsidR="000E37E7">
        <w:rPr>
          <w:rFonts w:ascii="Bookman Old Style" w:hAnsi="Bookman Old Style"/>
          <w:sz w:val="28"/>
          <w:szCs w:val="28"/>
        </w:rPr>
        <w:t>;</w:t>
      </w:r>
      <w:r>
        <w:rPr>
          <w:rFonts w:ascii="Bookman Old Style" w:hAnsi="Bookman Old Style"/>
          <w:sz w:val="28"/>
          <w:szCs w:val="28"/>
        </w:rPr>
        <w:t xml:space="preserve"> </w:t>
      </w:r>
      <w:r w:rsidR="00E166A5">
        <w:rPr>
          <w:rFonts w:ascii="Bookman Old Style" w:hAnsi="Bookman Old Style"/>
          <w:sz w:val="28"/>
          <w:szCs w:val="28"/>
        </w:rPr>
        <w:t xml:space="preserve">ii) </w:t>
      </w:r>
      <w:r>
        <w:rPr>
          <w:rFonts w:ascii="Bookman Old Style" w:hAnsi="Bookman Old Style"/>
          <w:sz w:val="28"/>
          <w:szCs w:val="28"/>
        </w:rPr>
        <w:t xml:space="preserve">que la discrepancia surgida entre los jueces involucrados se reduce a la aplicación o no del numeral 5º del artículo 23 del C. de P.C., </w:t>
      </w:r>
      <w:r w:rsidR="000E37E7">
        <w:rPr>
          <w:rFonts w:ascii="Bookman Old Style" w:hAnsi="Bookman Old Style"/>
          <w:sz w:val="28"/>
          <w:szCs w:val="28"/>
        </w:rPr>
        <w:t>es decir</w:t>
      </w:r>
      <w:r>
        <w:rPr>
          <w:rFonts w:ascii="Bookman Old Style" w:hAnsi="Bookman Old Style"/>
          <w:sz w:val="28"/>
          <w:szCs w:val="28"/>
        </w:rPr>
        <w:t>, el lugar en el que debía cumplirse el contrato o las obligaciones nacidas del mismo</w:t>
      </w:r>
      <w:r w:rsidR="00E166A5">
        <w:rPr>
          <w:rFonts w:ascii="Bookman Old Style" w:hAnsi="Bookman Old Style"/>
          <w:sz w:val="28"/>
          <w:szCs w:val="28"/>
        </w:rPr>
        <w:t xml:space="preserve">; iii) que el actor, al aducir su demanda, no invocó la precitada regla, tampoco aludió, expresamente, a la fijación de la controversia a partir del sitio en donde la demandada tiene la sucursal o agencia, tal cual lo contempla el numeral 7º del señalado precepto; y, iv) solo, cuando recurrió en reposición el auto que rechazó la demanda, el actor, invocó esta última situación. </w:t>
      </w:r>
    </w:p>
    <w:p w:rsidR="00E166A5" w:rsidRDefault="00E166A5" w:rsidP="00305720">
      <w:pPr>
        <w:spacing w:line="360" w:lineRule="auto"/>
        <w:ind w:firstLine="708"/>
        <w:jc w:val="both"/>
        <w:rPr>
          <w:rFonts w:ascii="Bookman Old Style" w:hAnsi="Bookman Old Style"/>
          <w:sz w:val="28"/>
          <w:szCs w:val="28"/>
        </w:rPr>
      </w:pPr>
    </w:p>
    <w:p w:rsidR="00E166A5" w:rsidRDefault="008A5D0D" w:rsidP="008A5D0D">
      <w:pPr>
        <w:spacing w:line="360" w:lineRule="auto"/>
        <w:ind w:firstLine="708"/>
        <w:jc w:val="both"/>
        <w:rPr>
          <w:rFonts w:ascii="Bookman Old Style" w:hAnsi="Bookman Old Style"/>
          <w:sz w:val="28"/>
          <w:szCs w:val="28"/>
        </w:rPr>
      </w:pPr>
      <w:r>
        <w:rPr>
          <w:rFonts w:ascii="Bookman Old Style" w:hAnsi="Bookman Old Style"/>
          <w:sz w:val="28"/>
          <w:szCs w:val="28"/>
        </w:rPr>
        <w:t xml:space="preserve">4. Pues, bien, delineado lo anterior, surge, prontamente, la conclusión de que el juez llamado a </w:t>
      </w:r>
      <w:r>
        <w:rPr>
          <w:rFonts w:ascii="Bookman Old Style" w:hAnsi="Bookman Old Style"/>
          <w:sz w:val="28"/>
          <w:szCs w:val="28"/>
        </w:rPr>
        <w:lastRenderedPageBreak/>
        <w:t>conocer de esta controversia es el Octavo Civil Municipal de Pereira</w:t>
      </w:r>
      <w:r w:rsidR="00E166A5">
        <w:rPr>
          <w:rFonts w:ascii="Bookman Old Style" w:hAnsi="Bookman Old Style"/>
          <w:sz w:val="28"/>
          <w:szCs w:val="28"/>
        </w:rPr>
        <w:t>, por las siguientes razones:</w:t>
      </w:r>
    </w:p>
    <w:p w:rsidR="008A5D0D" w:rsidRDefault="008A5D0D" w:rsidP="008A5D0D">
      <w:pPr>
        <w:spacing w:line="360" w:lineRule="auto"/>
        <w:jc w:val="both"/>
        <w:rPr>
          <w:rFonts w:ascii="Bookman Old Style" w:hAnsi="Bookman Old Style"/>
          <w:sz w:val="28"/>
          <w:szCs w:val="28"/>
        </w:rPr>
      </w:pPr>
    </w:p>
    <w:p w:rsidR="00EE22A0" w:rsidRDefault="008A5D0D" w:rsidP="00EE22A0">
      <w:pPr>
        <w:spacing w:line="360" w:lineRule="auto"/>
        <w:jc w:val="both"/>
        <w:rPr>
          <w:rFonts w:ascii="Bookman Old Style" w:hAnsi="Bookman Old Style"/>
          <w:sz w:val="28"/>
          <w:szCs w:val="28"/>
        </w:rPr>
      </w:pPr>
      <w:r>
        <w:rPr>
          <w:rFonts w:ascii="Bookman Old Style" w:hAnsi="Bookman Old Style"/>
          <w:sz w:val="28"/>
          <w:szCs w:val="28"/>
        </w:rPr>
        <w:tab/>
      </w:r>
      <w:r w:rsidR="00E166A5">
        <w:rPr>
          <w:rFonts w:ascii="Bookman Old Style" w:hAnsi="Bookman Old Style"/>
          <w:sz w:val="28"/>
          <w:szCs w:val="28"/>
        </w:rPr>
        <w:t>4</w:t>
      </w:r>
      <w:r>
        <w:rPr>
          <w:rFonts w:ascii="Bookman Old Style" w:hAnsi="Bookman Old Style"/>
          <w:sz w:val="28"/>
          <w:szCs w:val="28"/>
        </w:rPr>
        <w:t xml:space="preserve">.1. </w:t>
      </w:r>
      <w:r w:rsidR="00E166A5">
        <w:rPr>
          <w:rFonts w:ascii="Bookman Old Style" w:hAnsi="Bookman Old Style"/>
          <w:sz w:val="28"/>
          <w:szCs w:val="28"/>
        </w:rPr>
        <w:t>L</w:t>
      </w:r>
      <w:r>
        <w:rPr>
          <w:rFonts w:ascii="Bookman Old Style" w:hAnsi="Bookman Old Style"/>
          <w:sz w:val="28"/>
          <w:szCs w:val="28"/>
        </w:rPr>
        <w:t xml:space="preserve">a pretensión primera </w:t>
      </w:r>
      <w:r w:rsidR="00EE22A0">
        <w:rPr>
          <w:rFonts w:ascii="Bookman Old Style" w:hAnsi="Bookman Old Style"/>
          <w:sz w:val="28"/>
          <w:szCs w:val="28"/>
        </w:rPr>
        <w:t xml:space="preserve">de la demanda </w:t>
      </w:r>
      <w:r>
        <w:rPr>
          <w:rFonts w:ascii="Bookman Old Style" w:hAnsi="Bookman Old Style"/>
          <w:sz w:val="28"/>
          <w:szCs w:val="28"/>
        </w:rPr>
        <w:t xml:space="preserve">reclama, expresamente, que se declare que la aseguradora incumplió el contrato de seguro celebrado (fl. 52), luego, sin temor a equívocos, la causa de este pleito concierne con un </w:t>
      </w:r>
      <w:r w:rsidR="00EE22A0">
        <w:rPr>
          <w:rFonts w:ascii="Bookman Old Style" w:hAnsi="Bookman Old Style"/>
          <w:sz w:val="28"/>
          <w:szCs w:val="28"/>
        </w:rPr>
        <w:t>negocio jurídico</w:t>
      </w:r>
      <w:r>
        <w:rPr>
          <w:rFonts w:ascii="Bookman Old Style" w:hAnsi="Bookman Old Style"/>
          <w:sz w:val="28"/>
          <w:szCs w:val="28"/>
        </w:rPr>
        <w:t>; así, también, lo validan los hechos narrados.</w:t>
      </w:r>
      <w:r w:rsidR="00EE22A0" w:rsidRPr="00EE22A0">
        <w:rPr>
          <w:rFonts w:ascii="Bookman Old Style" w:hAnsi="Bookman Old Style"/>
          <w:sz w:val="28"/>
          <w:szCs w:val="28"/>
        </w:rPr>
        <w:t xml:space="preserve"> </w:t>
      </w:r>
      <w:r w:rsidR="00EE22A0">
        <w:rPr>
          <w:rFonts w:ascii="Bookman Old Style" w:hAnsi="Bookman Old Style"/>
          <w:sz w:val="28"/>
          <w:szCs w:val="28"/>
        </w:rPr>
        <w:t>Y, el referido pacto fue ajustado a través de la agencia de Pereira, como así aparece certificado por el Director Regional (fl. 26), es decir, está vinculado a esa agencia.</w:t>
      </w:r>
    </w:p>
    <w:p w:rsidR="008A5D0D" w:rsidRDefault="008A5D0D" w:rsidP="008A5D0D">
      <w:pPr>
        <w:spacing w:line="360" w:lineRule="auto"/>
        <w:jc w:val="both"/>
        <w:rPr>
          <w:rFonts w:ascii="Bookman Old Style" w:hAnsi="Bookman Old Style"/>
          <w:sz w:val="28"/>
          <w:szCs w:val="28"/>
        </w:rPr>
      </w:pPr>
    </w:p>
    <w:p w:rsidR="008A5D0D" w:rsidRDefault="00EE22A0" w:rsidP="008A5D0D">
      <w:pPr>
        <w:spacing w:line="360" w:lineRule="auto"/>
        <w:ind w:firstLine="708"/>
        <w:jc w:val="both"/>
        <w:rPr>
          <w:rFonts w:ascii="Bookman Old Style" w:hAnsi="Bookman Old Style"/>
          <w:sz w:val="28"/>
          <w:szCs w:val="28"/>
        </w:rPr>
      </w:pPr>
      <w:r>
        <w:rPr>
          <w:rFonts w:ascii="Bookman Old Style" w:hAnsi="Bookman Old Style"/>
          <w:sz w:val="28"/>
          <w:szCs w:val="28"/>
        </w:rPr>
        <w:t>4.2.</w:t>
      </w:r>
      <w:r w:rsidRPr="00EE22A0">
        <w:rPr>
          <w:rFonts w:ascii="Bookman Old Style" w:hAnsi="Bookman Old Style"/>
          <w:sz w:val="28"/>
          <w:szCs w:val="28"/>
        </w:rPr>
        <w:t xml:space="preserve"> </w:t>
      </w:r>
      <w:r>
        <w:rPr>
          <w:rFonts w:ascii="Bookman Old Style" w:hAnsi="Bookman Old Style"/>
          <w:sz w:val="28"/>
          <w:szCs w:val="28"/>
        </w:rPr>
        <w:t xml:space="preserve">El libelista, dirigió su escrito incoativo a los jueces de dicha ciudad, </w:t>
      </w:r>
      <w:r w:rsidR="008A5D0D">
        <w:rPr>
          <w:rFonts w:ascii="Bookman Old Style" w:hAnsi="Bookman Old Style"/>
          <w:sz w:val="28"/>
          <w:szCs w:val="28"/>
        </w:rPr>
        <w:t xml:space="preserve">lo que, implícitamente, devela el interés de la accionante en </w:t>
      </w:r>
      <w:r>
        <w:rPr>
          <w:rFonts w:ascii="Bookman Old Style" w:hAnsi="Bookman Old Style"/>
          <w:sz w:val="28"/>
          <w:szCs w:val="28"/>
        </w:rPr>
        <w:t>radicar allí el litigio</w:t>
      </w:r>
      <w:r w:rsidR="008A5D0D">
        <w:rPr>
          <w:rFonts w:ascii="Bookman Old Style" w:hAnsi="Bookman Old Style"/>
          <w:sz w:val="28"/>
          <w:szCs w:val="28"/>
        </w:rPr>
        <w:t xml:space="preserve">. </w:t>
      </w:r>
    </w:p>
    <w:p w:rsidR="008A5D0D" w:rsidRDefault="008A5D0D" w:rsidP="008A5D0D">
      <w:pPr>
        <w:spacing w:line="360" w:lineRule="auto"/>
        <w:jc w:val="both"/>
        <w:rPr>
          <w:rFonts w:ascii="Bookman Old Style" w:hAnsi="Bookman Old Style"/>
          <w:sz w:val="28"/>
          <w:szCs w:val="28"/>
        </w:rPr>
      </w:pPr>
    </w:p>
    <w:p w:rsidR="008A5D0D" w:rsidRDefault="008A5D0D" w:rsidP="008A5D0D">
      <w:pPr>
        <w:spacing w:line="360" w:lineRule="auto"/>
        <w:jc w:val="both"/>
        <w:rPr>
          <w:rFonts w:ascii="Bookman Old Style" w:hAnsi="Bookman Old Style"/>
          <w:sz w:val="28"/>
          <w:szCs w:val="28"/>
        </w:rPr>
      </w:pPr>
      <w:r>
        <w:rPr>
          <w:rFonts w:ascii="Bookman Old Style" w:hAnsi="Bookman Old Style"/>
          <w:sz w:val="28"/>
          <w:szCs w:val="28"/>
        </w:rPr>
        <w:tab/>
      </w:r>
      <w:r w:rsidR="00EE22A0">
        <w:rPr>
          <w:rFonts w:ascii="Bookman Old Style" w:hAnsi="Bookman Old Style"/>
          <w:sz w:val="28"/>
          <w:szCs w:val="28"/>
        </w:rPr>
        <w:t>4</w:t>
      </w:r>
      <w:r>
        <w:rPr>
          <w:rFonts w:ascii="Bookman Old Style" w:hAnsi="Bookman Old Style"/>
          <w:sz w:val="28"/>
          <w:szCs w:val="28"/>
        </w:rPr>
        <w:t xml:space="preserve">.3. </w:t>
      </w:r>
      <w:r w:rsidR="00EE22A0">
        <w:rPr>
          <w:rFonts w:ascii="Bookman Old Style" w:hAnsi="Bookman Old Style"/>
          <w:sz w:val="28"/>
          <w:szCs w:val="28"/>
        </w:rPr>
        <w:t>P</w:t>
      </w:r>
      <w:r>
        <w:rPr>
          <w:rFonts w:ascii="Bookman Old Style" w:hAnsi="Bookman Old Style"/>
          <w:sz w:val="28"/>
          <w:szCs w:val="28"/>
        </w:rPr>
        <w:t>reviamente</w:t>
      </w:r>
      <w:r w:rsidR="00EE22A0">
        <w:rPr>
          <w:rFonts w:ascii="Bookman Old Style" w:hAnsi="Bookman Old Style"/>
          <w:sz w:val="28"/>
          <w:szCs w:val="28"/>
        </w:rPr>
        <w:t xml:space="preserve"> al proceso ordinario</w:t>
      </w:r>
      <w:r>
        <w:rPr>
          <w:rFonts w:ascii="Bookman Old Style" w:hAnsi="Bookman Old Style"/>
          <w:sz w:val="28"/>
          <w:szCs w:val="28"/>
        </w:rPr>
        <w:t xml:space="preserve">, a la persona jurídica se le había citado a la ciudad de Pereira con el propósito de agotar el requisito de procedibilidad, ensayo que no fue repelido por aquella aduciendo una falta de competencia o poniendo en tela de juicio esa convocatoria a partir del lugar o domicilio principal de la aseguradora. </w:t>
      </w:r>
    </w:p>
    <w:p w:rsidR="008A5D0D" w:rsidRDefault="008A5D0D" w:rsidP="008A5D0D">
      <w:pPr>
        <w:spacing w:line="360" w:lineRule="auto"/>
        <w:jc w:val="both"/>
        <w:rPr>
          <w:rFonts w:ascii="Bookman Old Style" w:hAnsi="Bookman Old Style"/>
          <w:sz w:val="28"/>
          <w:szCs w:val="28"/>
        </w:rPr>
      </w:pPr>
    </w:p>
    <w:p w:rsidR="008A5D0D" w:rsidRDefault="008A5D0D" w:rsidP="008A5D0D">
      <w:pPr>
        <w:spacing w:line="360" w:lineRule="auto"/>
        <w:jc w:val="both"/>
        <w:rPr>
          <w:rFonts w:ascii="Bookman Old Style" w:hAnsi="Bookman Old Style"/>
          <w:sz w:val="28"/>
          <w:szCs w:val="28"/>
        </w:rPr>
      </w:pPr>
      <w:r>
        <w:rPr>
          <w:rFonts w:ascii="Bookman Old Style" w:hAnsi="Bookman Old Style"/>
          <w:sz w:val="28"/>
          <w:szCs w:val="28"/>
        </w:rPr>
        <w:tab/>
      </w:r>
      <w:r w:rsidR="00EE22A0">
        <w:rPr>
          <w:rFonts w:ascii="Bookman Old Style" w:hAnsi="Bookman Old Style"/>
          <w:sz w:val="28"/>
          <w:szCs w:val="28"/>
        </w:rPr>
        <w:t xml:space="preserve">5. </w:t>
      </w:r>
      <w:r>
        <w:rPr>
          <w:rFonts w:ascii="Bookman Old Style" w:hAnsi="Bookman Old Style"/>
          <w:sz w:val="28"/>
          <w:szCs w:val="28"/>
        </w:rPr>
        <w:t>E</w:t>
      </w:r>
      <w:r w:rsidR="00253D4A">
        <w:rPr>
          <w:rFonts w:ascii="Bookman Old Style" w:hAnsi="Bookman Old Style"/>
          <w:sz w:val="28"/>
          <w:szCs w:val="28"/>
        </w:rPr>
        <w:t>n ese orden, e</w:t>
      </w:r>
      <w:r>
        <w:rPr>
          <w:rFonts w:ascii="Bookman Old Style" w:hAnsi="Bookman Old Style"/>
          <w:sz w:val="28"/>
          <w:szCs w:val="28"/>
        </w:rPr>
        <w:t xml:space="preserve">l funcionario (Octavo Civil Municipal de Pereira), como correspondía, en desarrollo del proceso interpretativo de la demanda, </w:t>
      </w:r>
      <w:r w:rsidR="00EE22A0">
        <w:rPr>
          <w:rFonts w:ascii="Bookman Old Style" w:hAnsi="Bookman Old Style"/>
          <w:sz w:val="28"/>
          <w:szCs w:val="28"/>
        </w:rPr>
        <w:t xml:space="preserve">dada su evidencia, </w:t>
      </w:r>
      <w:r>
        <w:rPr>
          <w:rFonts w:ascii="Bookman Old Style" w:hAnsi="Bookman Old Style"/>
          <w:sz w:val="28"/>
          <w:szCs w:val="28"/>
        </w:rPr>
        <w:t>debió visualizar la dualidad de opciones con las que contaba la asegurada en la selección del juez de la causa</w:t>
      </w:r>
      <w:r w:rsidR="00EE22A0">
        <w:rPr>
          <w:rFonts w:ascii="Bookman Old Style" w:hAnsi="Bookman Old Style"/>
          <w:sz w:val="28"/>
          <w:szCs w:val="28"/>
        </w:rPr>
        <w:t xml:space="preserve">, ejercicio que debió llevarlo a </w:t>
      </w:r>
      <w:r>
        <w:rPr>
          <w:rFonts w:ascii="Bookman Old Style" w:hAnsi="Bookman Old Style"/>
          <w:sz w:val="28"/>
          <w:szCs w:val="28"/>
        </w:rPr>
        <w:t xml:space="preserve">aplicar aquella directriz </w:t>
      </w:r>
      <w:r w:rsidR="00EE22A0">
        <w:rPr>
          <w:rFonts w:ascii="Bookman Old Style" w:hAnsi="Bookman Old Style"/>
          <w:sz w:val="28"/>
          <w:szCs w:val="28"/>
        </w:rPr>
        <w:t xml:space="preserve">(num. 7, art. 23 C. de P.C.), </w:t>
      </w:r>
      <w:r>
        <w:rPr>
          <w:rFonts w:ascii="Bookman Old Style" w:hAnsi="Bookman Old Style"/>
          <w:sz w:val="28"/>
          <w:szCs w:val="28"/>
        </w:rPr>
        <w:t>o</w:t>
      </w:r>
      <w:r w:rsidR="00253D4A">
        <w:rPr>
          <w:rFonts w:ascii="Bookman Old Style" w:hAnsi="Bookman Old Style"/>
          <w:sz w:val="28"/>
          <w:szCs w:val="28"/>
        </w:rPr>
        <w:t>, eventualmente,</w:t>
      </w:r>
      <w:r>
        <w:rPr>
          <w:rFonts w:ascii="Bookman Old Style" w:hAnsi="Bookman Old Style"/>
          <w:sz w:val="28"/>
          <w:szCs w:val="28"/>
        </w:rPr>
        <w:t xml:space="preserve"> reclamar de la misma precisión </w:t>
      </w:r>
      <w:r>
        <w:rPr>
          <w:rFonts w:ascii="Bookman Old Style" w:hAnsi="Bookman Old Style"/>
          <w:sz w:val="28"/>
          <w:szCs w:val="28"/>
        </w:rPr>
        <w:lastRenderedPageBreak/>
        <w:t>sobre el particular disponiendo la  inadmisión de la demanda</w:t>
      </w:r>
      <w:r w:rsidR="00EE22A0">
        <w:rPr>
          <w:rFonts w:ascii="Bookman Old Style" w:hAnsi="Bookman Old Style"/>
          <w:sz w:val="28"/>
          <w:szCs w:val="28"/>
        </w:rPr>
        <w:t>; también, había podido</w:t>
      </w:r>
      <w:r>
        <w:rPr>
          <w:rFonts w:ascii="Bookman Old Style" w:hAnsi="Bookman Old Style"/>
          <w:sz w:val="28"/>
          <w:szCs w:val="28"/>
        </w:rPr>
        <w:t xml:space="preserve"> replantear su posición una vez conoció el escrito </w:t>
      </w:r>
      <w:r w:rsidR="00EE22A0">
        <w:rPr>
          <w:rFonts w:ascii="Bookman Old Style" w:hAnsi="Bookman Old Style"/>
          <w:sz w:val="28"/>
          <w:szCs w:val="28"/>
        </w:rPr>
        <w:t>de reposición</w:t>
      </w:r>
      <w:r>
        <w:rPr>
          <w:rFonts w:ascii="Bookman Old Style" w:hAnsi="Bookman Old Style"/>
          <w:sz w:val="28"/>
          <w:szCs w:val="28"/>
        </w:rPr>
        <w:t xml:space="preserve">. </w:t>
      </w:r>
    </w:p>
    <w:p w:rsidR="00D45DC4" w:rsidRDefault="00D45DC4" w:rsidP="00D45DC4">
      <w:pPr>
        <w:spacing w:line="360" w:lineRule="auto"/>
        <w:jc w:val="both"/>
        <w:rPr>
          <w:rFonts w:ascii="Bookman Old Style" w:hAnsi="Bookman Old Style"/>
          <w:sz w:val="28"/>
          <w:szCs w:val="28"/>
        </w:rPr>
      </w:pPr>
    </w:p>
    <w:p w:rsidR="00DB3880" w:rsidRDefault="00DB3880" w:rsidP="00D45DC4">
      <w:pPr>
        <w:spacing w:line="360" w:lineRule="auto"/>
        <w:jc w:val="both"/>
        <w:rPr>
          <w:rFonts w:ascii="Bookman Old Style" w:hAnsi="Bookman Old Style"/>
          <w:sz w:val="28"/>
          <w:szCs w:val="28"/>
        </w:rPr>
      </w:pPr>
      <w:r>
        <w:rPr>
          <w:rFonts w:ascii="Bookman Old Style" w:hAnsi="Bookman Old Style"/>
          <w:sz w:val="28"/>
          <w:szCs w:val="28"/>
        </w:rPr>
        <w:tab/>
      </w:r>
      <w:r w:rsidR="00EC2EA2">
        <w:rPr>
          <w:rFonts w:ascii="Bookman Old Style" w:hAnsi="Bookman Old Style"/>
          <w:sz w:val="28"/>
          <w:szCs w:val="28"/>
        </w:rPr>
        <w:t>6</w:t>
      </w:r>
      <w:r>
        <w:rPr>
          <w:rFonts w:ascii="Bookman Old Style" w:hAnsi="Bookman Old Style"/>
          <w:sz w:val="28"/>
          <w:szCs w:val="28"/>
        </w:rPr>
        <w:t xml:space="preserve">. En definitiva, </w:t>
      </w:r>
      <w:r w:rsidR="007E09BC">
        <w:rPr>
          <w:rFonts w:ascii="Bookman Old Style" w:hAnsi="Bookman Old Style"/>
          <w:sz w:val="28"/>
          <w:szCs w:val="28"/>
        </w:rPr>
        <w:t xml:space="preserve">considera la suscrita Magistrada que </w:t>
      </w:r>
      <w:r w:rsidR="0017478C">
        <w:rPr>
          <w:rFonts w:ascii="Bookman Old Style" w:hAnsi="Bookman Old Style"/>
          <w:sz w:val="28"/>
          <w:szCs w:val="28"/>
        </w:rPr>
        <w:t xml:space="preserve">la promotora de esta acción, a través de las actuaciones cumplidas de manera antelada, además de la información suministrada en el escrito de demanda, puso en evidencia su interés en que operara la hipótesis prevista en el numeral  </w:t>
      </w:r>
      <w:r w:rsidR="007E09BC">
        <w:rPr>
          <w:rFonts w:ascii="Bookman Old Style" w:hAnsi="Bookman Old Style"/>
          <w:sz w:val="28"/>
          <w:szCs w:val="28"/>
        </w:rPr>
        <w:t>7</w:t>
      </w:r>
      <w:r w:rsidR="0017478C">
        <w:rPr>
          <w:rFonts w:ascii="Bookman Old Style" w:hAnsi="Bookman Old Style"/>
          <w:sz w:val="28"/>
          <w:szCs w:val="28"/>
        </w:rPr>
        <w:t>°</w:t>
      </w:r>
      <w:r w:rsidR="007E09BC">
        <w:rPr>
          <w:rFonts w:ascii="Bookman Old Style" w:hAnsi="Bookman Old Style"/>
          <w:sz w:val="28"/>
          <w:szCs w:val="28"/>
        </w:rPr>
        <w:t xml:space="preserve"> del artículo 23 del C. de P.C., </w:t>
      </w:r>
      <w:r w:rsidR="0017478C">
        <w:rPr>
          <w:rFonts w:ascii="Bookman Old Style" w:hAnsi="Bookman Old Style"/>
          <w:sz w:val="28"/>
          <w:szCs w:val="28"/>
        </w:rPr>
        <w:t xml:space="preserve">lo que </w:t>
      </w:r>
      <w:r w:rsidR="007E09BC">
        <w:rPr>
          <w:rFonts w:ascii="Bookman Old Style" w:hAnsi="Bookman Old Style"/>
          <w:sz w:val="28"/>
          <w:szCs w:val="28"/>
        </w:rPr>
        <w:t xml:space="preserve">lleva a concluir </w:t>
      </w:r>
      <w:r>
        <w:rPr>
          <w:rFonts w:ascii="Bookman Old Style" w:hAnsi="Bookman Old Style"/>
          <w:sz w:val="28"/>
          <w:szCs w:val="28"/>
        </w:rPr>
        <w:t>que el asunto debe retornar a la ciudad de Pereira para que allí</w:t>
      </w:r>
      <w:r w:rsidR="007E09BC">
        <w:rPr>
          <w:rFonts w:ascii="Bookman Old Style" w:hAnsi="Bookman Old Style"/>
          <w:sz w:val="28"/>
          <w:szCs w:val="28"/>
        </w:rPr>
        <w:t xml:space="preserve">, </w:t>
      </w:r>
      <w:r>
        <w:rPr>
          <w:rFonts w:ascii="Bookman Old Style" w:hAnsi="Bookman Old Style"/>
          <w:sz w:val="28"/>
          <w:szCs w:val="28"/>
        </w:rPr>
        <w:t>por parte de dicho juzgador</w:t>
      </w:r>
      <w:r w:rsidR="007E09BC">
        <w:rPr>
          <w:rFonts w:ascii="Bookman Old Style" w:hAnsi="Bookman Old Style"/>
          <w:sz w:val="28"/>
          <w:szCs w:val="28"/>
        </w:rPr>
        <w:t>,</w:t>
      </w:r>
      <w:r>
        <w:rPr>
          <w:rFonts w:ascii="Bookman Old Style" w:hAnsi="Bookman Old Style"/>
          <w:sz w:val="28"/>
          <w:szCs w:val="28"/>
        </w:rPr>
        <w:t xml:space="preserve"> se asuma </w:t>
      </w:r>
      <w:r w:rsidR="007E09BC">
        <w:rPr>
          <w:rFonts w:ascii="Bookman Old Style" w:hAnsi="Bookman Old Style"/>
          <w:sz w:val="28"/>
          <w:szCs w:val="28"/>
        </w:rPr>
        <w:t xml:space="preserve">el </w:t>
      </w:r>
      <w:r>
        <w:rPr>
          <w:rFonts w:ascii="Bookman Old Style" w:hAnsi="Bookman Old Style"/>
          <w:sz w:val="28"/>
          <w:szCs w:val="28"/>
        </w:rPr>
        <w:t>conocimiento</w:t>
      </w:r>
      <w:r w:rsidR="007E09BC">
        <w:rPr>
          <w:rFonts w:ascii="Bookman Old Style" w:hAnsi="Bookman Old Style"/>
          <w:sz w:val="28"/>
          <w:szCs w:val="28"/>
        </w:rPr>
        <w:t xml:space="preserve"> de este tema</w:t>
      </w:r>
      <w:r>
        <w:rPr>
          <w:rFonts w:ascii="Bookman Old Style" w:hAnsi="Bookman Old Style"/>
          <w:sz w:val="28"/>
          <w:szCs w:val="28"/>
        </w:rPr>
        <w:t xml:space="preserve">. </w:t>
      </w:r>
    </w:p>
    <w:p w:rsidR="00DB3880" w:rsidRDefault="00DB3880" w:rsidP="00D45DC4">
      <w:pPr>
        <w:spacing w:line="360" w:lineRule="auto"/>
        <w:jc w:val="both"/>
        <w:rPr>
          <w:rFonts w:ascii="Bookman Old Style" w:hAnsi="Bookman Old Style"/>
          <w:sz w:val="28"/>
          <w:szCs w:val="28"/>
        </w:rPr>
      </w:pPr>
    </w:p>
    <w:p w:rsidR="00305720" w:rsidRDefault="00305720" w:rsidP="00305720">
      <w:pPr>
        <w:spacing w:line="360" w:lineRule="auto"/>
        <w:jc w:val="both"/>
        <w:rPr>
          <w:rFonts w:ascii="Bookman Old Style" w:hAnsi="Bookman Old Style"/>
          <w:sz w:val="28"/>
          <w:szCs w:val="28"/>
        </w:rPr>
      </w:pPr>
      <w:r>
        <w:rPr>
          <w:rFonts w:ascii="Bookman Old Style" w:hAnsi="Bookman Old Style"/>
          <w:sz w:val="28"/>
          <w:szCs w:val="28"/>
        </w:rPr>
        <w:tab/>
      </w:r>
      <w:r w:rsidR="007E09BC">
        <w:rPr>
          <w:rFonts w:ascii="Bookman Old Style" w:hAnsi="Bookman Old Style"/>
          <w:sz w:val="28"/>
          <w:szCs w:val="28"/>
        </w:rPr>
        <w:t>7</w:t>
      </w:r>
      <w:r>
        <w:rPr>
          <w:rFonts w:ascii="Bookman Old Style" w:hAnsi="Bookman Old Style"/>
          <w:sz w:val="28"/>
          <w:szCs w:val="28"/>
        </w:rPr>
        <w:t xml:space="preserve">. </w:t>
      </w:r>
      <w:r w:rsidR="00DB3880">
        <w:rPr>
          <w:rFonts w:ascii="Bookman Old Style" w:hAnsi="Bookman Old Style"/>
          <w:sz w:val="28"/>
          <w:szCs w:val="28"/>
        </w:rPr>
        <w:t>L</w:t>
      </w:r>
      <w:r>
        <w:rPr>
          <w:rFonts w:ascii="Bookman Old Style" w:hAnsi="Bookman Old Style"/>
          <w:sz w:val="28"/>
          <w:szCs w:val="28"/>
        </w:rPr>
        <w:t>o anterior no se opone</w:t>
      </w:r>
      <w:r w:rsidR="0017478C">
        <w:rPr>
          <w:rFonts w:ascii="Bookman Old Style" w:hAnsi="Bookman Old Style"/>
          <w:sz w:val="28"/>
          <w:szCs w:val="28"/>
        </w:rPr>
        <w:t>, por supuesto,</w:t>
      </w:r>
      <w:r>
        <w:rPr>
          <w:rFonts w:ascii="Bookman Old Style" w:hAnsi="Bookman Old Style"/>
          <w:sz w:val="28"/>
          <w:szCs w:val="28"/>
        </w:rPr>
        <w:t xml:space="preserve"> para que, cuando l</w:t>
      </w:r>
      <w:r w:rsidR="0017478C">
        <w:rPr>
          <w:rFonts w:ascii="Bookman Old Style" w:hAnsi="Bookman Old Style"/>
          <w:sz w:val="28"/>
          <w:szCs w:val="28"/>
        </w:rPr>
        <w:t>a</w:t>
      </w:r>
      <w:r>
        <w:rPr>
          <w:rFonts w:ascii="Bookman Old Style" w:hAnsi="Bookman Old Style"/>
          <w:sz w:val="28"/>
          <w:szCs w:val="28"/>
        </w:rPr>
        <w:t xml:space="preserve"> demandad</w:t>
      </w:r>
      <w:r w:rsidR="0017478C">
        <w:rPr>
          <w:rFonts w:ascii="Bookman Old Style" w:hAnsi="Bookman Old Style"/>
          <w:sz w:val="28"/>
          <w:szCs w:val="28"/>
        </w:rPr>
        <w:t>a</w:t>
      </w:r>
      <w:r>
        <w:rPr>
          <w:rFonts w:ascii="Bookman Old Style" w:hAnsi="Bookman Old Style"/>
          <w:sz w:val="28"/>
          <w:szCs w:val="28"/>
        </w:rPr>
        <w:t xml:space="preserve"> concurra al proceso, por los canales previstos en las disposiciones vigentes, controvierta la competencia asignada y, dado el caso, resultado de esa confrontación</w:t>
      </w:r>
      <w:r w:rsidR="00DB3880">
        <w:rPr>
          <w:rFonts w:ascii="Bookman Old Style" w:hAnsi="Bookman Old Style"/>
          <w:sz w:val="28"/>
          <w:szCs w:val="28"/>
        </w:rPr>
        <w:t>,</w:t>
      </w:r>
      <w:r>
        <w:rPr>
          <w:rFonts w:ascii="Bookman Old Style" w:hAnsi="Bookman Old Style"/>
          <w:sz w:val="28"/>
          <w:szCs w:val="28"/>
        </w:rPr>
        <w:t xml:space="preserve"> la misma se mantenga o, contrariamente</w:t>
      </w:r>
      <w:r w:rsidR="00DB3880">
        <w:rPr>
          <w:rFonts w:ascii="Bookman Old Style" w:hAnsi="Bookman Old Style"/>
          <w:sz w:val="28"/>
          <w:szCs w:val="28"/>
        </w:rPr>
        <w:t>,</w:t>
      </w:r>
      <w:r>
        <w:rPr>
          <w:rFonts w:ascii="Bookman Old Style" w:hAnsi="Bookman Old Style"/>
          <w:sz w:val="28"/>
          <w:szCs w:val="28"/>
        </w:rPr>
        <w:t xml:space="preserve">  varíe. </w:t>
      </w:r>
    </w:p>
    <w:p w:rsidR="00DB3880" w:rsidRDefault="00DB3880" w:rsidP="00305720">
      <w:pPr>
        <w:spacing w:line="360" w:lineRule="auto"/>
        <w:jc w:val="both"/>
        <w:rPr>
          <w:rFonts w:ascii="Bookman Old Style" w:hAnsi="Bookman Old Style"/>
          <w:sz w:val="28"/>
          <w:szCs w:val="28"/>
        </w:rPr>
      </w:pPr>
    </w:p>
    <w:p w:rsidR="00DB3880" w:rsidRDefault="00DB3880" w:rsidP="00305720">
      <w:pPr>
        <w:spacing w:line="360" w:lineRule="auto"/>
        <w:jc w:val="both"/>
        <w:rPr>
          <w:rFonts w:ascii="Bookman Old Style" w:hAnsi="Bookman Old Style"/>
          <w:sz w:val="28"/>
          <w:szCs w:val="28"/>
        </w:rPr>
      </w:pPr>
    </w:p>
    <w:p w:rsidR="00305720" w:rsidRPr="001D01C7" w:rsidRDefault="00305720" w:rsidP="00305720">
      <w:pPr>
        <w:spacing w:line="360" w:lineRule="auto"/>
        <w:jc w:val="center"/>
        <w:rPr>
          <w:rFonts w:ascii="Bookman Old Style" w:hAnsi="Bookman Old Style"/>
          <w:b/>
          <w:sz w:val="28"/>
          <w:szCs w:val="28"/>
        </w:rPr>
      </w:pPr>
      <w:r>
        <w:rPr>
          <w:rFonts w:ascii="Bookman Old Style" w:hAnsi="Bookman Old Style"/>
          <w:b/>
          <w:sz w:val="28"/>
          <w:szCs w:val="28"/>
        </w:rPr>
        <w:t xml:space="preserve">III. </w:t>
      </w:r>
      <w:r w:rsidRPr="001D01C7">
        <w:rPr>
          <w:rFonts w:ascii="Bookman Old Style" w:hAnsi="Bookman Old Style"/>
          <w:b/>
          <w:sz w:val="28"/>
          <w:szCs w:val="28"/>
        </w:rPr>
        <w:t>DECISIÓN</w:t>
      </w:r>
      <w:r>
        <w:rPr>
          <w:rFonts w:ascii="Bookman Old Style" w:hAnsi="Bookman Old Style"/>
          <w:b/>
          <w:sz w:val="28"/>
          <w:szCs w:val="28"/>
        </w:rPr>
        <w:t xml:space="preserve"> </w:t>
      </w:r>
    </w:p>
    <w:p w:rsidR="00305720" w:rsidRDefault="00305720" w:rsidP="00305720">
      <w:pPr>
        <w:spacing w:line="360" w:lineRule="auto"/>
        <w:jc w:val="center"/>
        <w:rPr>
          <w:rFonts w:ascii="Bookman Old Style" w:hAnsi="Bookman Old Style"/>
          <w:b/>
          <w:sz w:val="28"/>
          <w:szCs w:val="28"/>
        </w:rPr>
      </w:pPr>
    </w:p>
    <w:p w:rsidR="00305720" w:rsidRPr="001D01C7" w:rsidRDefault="00305720" w:rsidP="00305720">
      <w:pPr>
        <w:spacing w:line="360" w:lineRule="auto"/>
        <w:ind w:firstLine="708"/>
        <w:jc w:val="both"/>
        <w:rPr>
          <w:rFonts w:ascii="Bookman Old Style" w:hAnsi="Bookman Old Style"/>
          <w:sz w:val="28"/>
          <w:szCs w:val="28"/>
        </w:rPr>
      </w:pPr>
      <w:r w:rsidRPr="001D01C7">
        <w:rPr>
          <w:rFonts w:ascii="Bookman Old Style" w:hAnsi="Bookman Old Style"/>
          <w:sz w:val="28"/>
          <w:szCs w:val="28"/>
        </w:rPr>
        <w:t>En mérito de lo expuesto, la Corte Suprema de Justicia, Sala de Casación Civil,</w:t>
      </w:r>
    </w:p>
    <w:p w:rsidR="00305720" w:rsidRPr="001D01C7" w:rsidRDefault="00305720" w:rsidP="00305720">
      <w:pPr>
        <w:spacing w:line="360" w:lineRule="auto"/>
        <w:jc w:val="both"/>
        <w:rPr>
          <w:rFonts w:ascii="Bookman Old Style" w:hAnsi="Bookman Old Style"/>
          <w:sz w:val="28"/>
          <w:szCs w:val="28"/>
        </w:rPr>
      </w:pPr>
    </w:p>
    <w:p w:rsidR="00305720" w:rsidRPr="001D01C7" w:rsidRDefault="00305720" w:rsidP="00305720">
      <w:pPr>
        <w:spacing w:line="360" w:lineRule="auto"/>
        <w:jc w:val="both"/>
        <w:rPr>
          <w:rFonts w:ascii="Bookman Old Style" w:hAnsi="Bookman Old Style"/>
          <w:sz w:val="28"/>
          <w:szCs w:val="28"/>
        </w:rPr>
      </w:pPr>
    </w:p>
    <w:p w:rsidR="00305720" w:rsidRDefault="00305720" w:rsidP="00305720">
      <w:pPr>
        <w:spacing w:line="360" w:lineRule="auto"/>
        <w:jc w:val="center"/>
        <w:rPr>
          <w:rFonts w:ascii="Bookman Old Style" w:hAnsi="Bookman Old Style"/>
          <w:b/>
          <w:sz w:val="28"/>
          <w:szCs w:val="28"/>
        </w:rPr>
      </w:pPr>
      <w:r w:rsidRPr="001D01C7">
        <w:rPr>
          <w:rFonts w:ascii="Bookman Old Style" w:hAnsi="Bookman Old Style"/>
          <w:b/>
          <w:sz w:val="28"/>
          <w:szCs w:val="28"/>
        </w:rPr>
        <w:t>RESUELVE</w:t>
      </w:r>
    </w:p>
    <w:p w:rsidR="00305720" w:rsidRPr="001D01C7" w:rsidRDefault="00305720" w:rsidP="00305720">
      <w:pPr>
        <w:spacing w:line="360" w:lineRule="auto"/>
        <w:jc w:val="center"/>
        <w:rPr>
          <w:rFonts w:ascii="Bookman Old Style" w:hAnsi="Bookman Old Style"/>
          <w:b/>
          <w:sz w:val="28"/>
          <w:szCs w:val="28"/>
        </w:rPr>
      </w:pPr>
    </w:p>
    <w:p w:rsidR="00305720" w:rsidRDefault="00305720" w:rsidP="00305720">
      <w:pPr>
        <w:pStyle w:val="Textoindependiente"/>
        <w:spacing w:after="0" w:line="360" w:lineRule="auto"/>
        <w:jc w:val="both"/>
        <w:rPr>
          <w:rFonts w:ascii="Bookman Old Style" w:hAnsi="Bookman Old Style"/>
          <w:sz w:val="28"/>
          <w:szCs w:val="28"/>
        </w:rPr>
      </w:pPr>
      <w:r w:rsidRPr="001D01C7">
        <w:rPr>
          <w:rFonts w:ascii="Bookman Old Style" w:hAnsi="Bookman Old Style"/>
          <w:b/>
          <w:sz w:val="28"/>
          <w:szCs w:val="28"/>
        </w:rPr>
        <w:lastRenderedPageBreak/>
        <w:t xml:space="preserve">        </w:t>
      </w:r>
      <w:r w:rsidRPr="001D01C7">
        <w:rPr>
          <w:rFonts w:ascii="Bookman Old Style" w:hAnsi="Bookman Old Style"/>
          <w:b/>
          <w:sz w:val="28"/>
          <w:szCs w:val="28"/>
          <w:u w:val="single"/>
        </w:rPr>
        <w:t>Primero</w:t>
      </w:r>
      <w:r w:rsidRPr="001D01C7">
        <w:rPr>
          <w:rFonts w:ascii="Bookman Old Style" w:hAnsi="Bookman Old Style"/>
          <w:b/>
          <w:sz w:val="28"/>
          <w:szCs w:val="28"/>
        </w:rPr>
        <w:t>: DECLARAR</w:t>
      </w:r>
      <w:r w:rsidRPr="001D01C7">
        <w:rPr>
          <w:rFonts w:ascii="Bookman Old Style" w:hAnsi="Bookman Old Style"/>
          <w:sz w:val="28"/>
          <w:szCs w:val="28"/>
        </w:rPr>
        <w:t xml:space="preserve"> que el conocimiento del presente asunto deberá </w:t>
      </w:r>
      <w:r>
        <w:rPr>
          <w:rFonts w:ascii="Bookman Old Style" w:hAnsi="Bookman Old Style"/>
          <w:sz w:val="28"/>
          <w:szCs w:val="28"/>
        </w:rPr>
        <w:t xml:space="preserve">ser </w:t>
      </w:r>
      <w:r w:rsidRPr="001D01C7">
        <w:rPr>
          <w:rFonts w:ascii="Bookman Old Style" w:hAnsi="Bookman Old Style"/>
          <w:sz w:val="28"/>
          <w:szCs w:val="28"/>
        </w:rPr>
        <w:t xml:space="preserve">asumido por el Juzgado </w:t>
      </w:r>
      <w:r w:rsidR="007E09BC">
        <w:rPr>
          <w:rFonts w:ascii="Bookman Old Style" w:hAnsi="Bookman Old Style"/>
          <w:sz w:val="28"/>
          <w:szCs w:val="28"/>
        </w:rPr>
        <w:t xml:space="preserve">Octavo </w:t>
      </w:r>
      <w:r>
        <w:rPr>
          <w:rFonts w:ascii="Bookman Old Style" w:hAnsi="Bookman Old Style"/>
          <w:sz w:val="28"/>
          <w:szCs w:val="28"/>
        </w:rPr>
        <w:t xml:space="preserve"> Civil Municipal de </w:t>
      </w:r>
      <w:r w:rsidR="007E09BC">
        <w:rPr>
          <w:rFonts w:ascii="Bookman Old Style" w:hAnsi="Bookman Old Style"/>
          <w:sz w:val="28"/>
          <w:szCs w:val="28"/>
        </w:rPr>
        <w:t>Pereira</w:t>
      </w:r>
      <w:r>
        <w:rPr>
          <w:rFonts w:ascii="Bookman Old Style" w:hAnsi="Bookman Old Style"/>
          <w:sz w:val="28"/>
          <w:szCs w:val="28"/>
        </w:rPr>
        <w:t xml:space="preserve">.  </w:t>
      </w:r>
    </w:p>
    <w:p w:rsidR="00305720" w:rsidRPr="001D01C7" w:rsidRDefault="00305720" w:rsidP="00305720">
      <w:pPr>
        <w:pStyle w:val="Textoindependiente"/>
        <w:spacing w:after="0" w:line="360" w:lineRule="auto"/>
        <w:jc w:val="both"/>
        <w:rPr>
          <w:rFonts w:ascii="Bookman Old Style" w:hAnsi="Bookman Old Style"/>
          <w:b/>
          <w:sz w:val="28"/>
          <w:szCs w:val="28"/>
        </w:rPr>
      </w:pPr>
    </w:p>
    <w:p w:rsidR="00305720" w:rsidRDefault="00305720" w:rsidP="00305720">
      <w:pPr>
        <w:spacing w:line="360" w:lineRule="auto"/>
        <w:jc w:val="both"/>
        <w:rPr>
          <w:rFonts w:ascii="Bookman Old Style" w:hAnsi="Bookman Old Style"/>
          <w:sz w:val="28"/>
          <w:szCs w:val="28"/>
        </w:rPr>
      </w:pPr>
      <w:r w:rsidRPr="001D01C7">
        <w:rPr>
          <w:rFonts w:ascii="Bookman Old Style" w:hAnsi="Bookman Old Style"/>
          <w:b/>
          <w:sz w:val="28"/>
          <w:szCs w:val="28"/>
        </w:rPr>
        <w:t xml:space="preserve">        COMUNICAR</w:t>
      </w:r>
      <w:r w:rsidRPr="001D01C7">
        <w:rPr>
          <w:rFonts w:ascii="Bookman Old Style" w:hAnsi="Bookman Old Style"/>
          <w:sz w:val="28"/>
          <w:szCs w:val="28"/>
        </w:rPr>
        <w:t xml:space="preserve"> lo decidido al Juzgado </w:t>
      </w:r>
      <w:r w:rsidR="007E09BC">
        <w:rPr>
          <w:rFonts w:ascii="Bookman Old Style" w:hAnsi="Bookman Old Style"/>
          <w:sz w:val="28"/>
          <w:szCs w:val="28"/>
        </w:rPr>
        <w:t>Sesenta y Seis</w:t>
      </w:r>
      <w:r>
        <w:rPr>
          <w:rFonts w:ascii="Bookman Old Style" w:hAnsi="Bookman Old Style"/>
          <w:sz w:val="28"/>
          <w:szCs w:val="28"/>
        </w:rPr>
        <w:t xml:space="preserve"> Civil Municipal de Bogotá. Se le acompañará copia de este proveído.</w:t>
      </w:r>
    </w:p>
    <w:p w:rsidR="00305720" w:rsidRPr="001D01C7" w:rsidRDefault="00305720" w:rsidP="00305720">
      <w:pPr>
        <w:spacing w:line="360" w:lineRule="auto"/>
        <w:jc w:val="both"/>
        <w:rPr>
          <w:rFonts w:ascii="Bookman Old Style" w:hAnsi="Bookman Old Style"/>
          <w:b/>
          <w:sz w:val="28"/>
          <w:szCs w:val="28"/>
        </w:rPr>
      </w:pPr>
    </w:p>
    <w:p w:rsidR="00305720" w:rsidRPr="001D01C7" w:rsidRDefault="00305720" w:rsidP="00305720">
      <w:pPr>
        <w:spacing w:line="360" w:lineRule="auto"/>
        <w:jc w:val="both"/>
        <w:rPr>
          <w:rFonts w:ascii="Bookman Old Style" w:hAnsi="Bookman Old Style"/>
          <w:sz w:val="28"/>
          <w:szCs w:val="28"/>
        </w:rPr>
      </w:pPr>
      <w:r w:rsidRPr="001D01C7">
        <w:rPr>
          <w:rFonts w:ascii="Bookman Old Style" w:hAnsi="Bookman Old Style"/>
          <w:b/>
          <w:sz w:val="28"/>
          <w:szCs w:val="28"/>
        </w:rPr>
        <w:t xml:space="preserve">        </w:t>
      </w:r>
      <w:r w:rsidRPr="001D01C7">
        <w:rPr>
          <w:rFonts w:ascii="Bookman Old Style" w:hAnsi="Bookman Old Style"/>
          <w:b/>
          <w:sz w:val="28"/>
          <w:szCs w:val="28"/>
          <w:u w:val="single"/>
        </w:rPr>
        <w:t>Segundo</w:t>
      </w:r>
      <w:r w:rsidRPr="001D01C7">
        <w:rPr>
          <w:rFonts w:ascii="Bookman Old Style" w:hAnsi="Bookman Old Style"/>
          <w:b/>
          <w:sz w:val="28"/>
          <w:szCs w:val="28"/>
        </w:rPr>
        <w:t>: REMITIR</w:t>
      </w:r>
      <w:r w:rsidRPr="001D01C7">
        <w:rPr>
          <w:rFonts w:ascii="Bookman Old Style" w:hAnsi="Bookman Old Style"/>
          <w:sz w:val="28"/>
          <w:szCs w:val="28"/>
        </w:rPr>
        <w:t xml:space="preserve"> el expediente al juzgado referido en el numeral primero de est</w:t>
      </w:r>
      <w:r>
        <w:rPr>
          <w:rFonts w:ascii="Bookman Old Style" w:hAnsi="Bookman Old Style"/>
          <w:sz w:val="28"/>
          <w:szCs w:val="28"/>
        </w:rPr>
        <w:t>a</w:t>
      </w:r>
      <w:r w:rsidRPr="001D01C7">
        <w:rPr>
          <w:rFonts w:ascii="Bookman Old Style" w:hAnsi="Bookman Old Style"/>
          <w:sz w:val="28"/>
          <w:szCs w:val="28"/>
        </w:rPr>
        <w:t xml:space="preserve"> </w:t>
      </w:r>
      <w:r>
        <w:rPr>
          <w:rFonts w:ascii="Bookman Old Style" w:hAnsi="Bookman Old Style"/>
          <w:sz w:val="28"/>
          <w:szCs w:val="28"/>
        </w:rPr>
        <w:t>decisión.</w:t>
      </w:r>
    </w:p>
    <w:p w:rsidR="00305720" w:rsidRPr="001D01C7" w:rsidRDefault="00305720" w:rsidP="00305720">
      <w:pPr>
        <w:spacing w:line="360" w:lineRule="auto"/>
        <w:jc w:val="both"/>
        <w:rPr>
          <w:rFonts w:ascii="Bookman Old Style" w:hAnsi="Bookman Old Style"/>
          <w:sz w:val="28"/>
          <w:szCs w:val="28"/>
        </w:rPr>
      </w:pPr>
      <w:r>
        <w:rPr>
          <w:rFonts w:ascii="Bookman Old Style" w:hAnsi="Bookman Old Style"/>
          <w:sz w:val="28"/>
          <w:szCs w:val="28"/>
        </w:rPr>
        <w:tab/>
      </w:r>
    </w:p>
    <w:p w:rsidR="00305720" w:rsidRPr="001D01C7" w:rsidRDefault="00305720" w:rsidP="00305720">
      <w:pPr>
        <w:spacing w:line="360" w:lineRule="auto"/>
        <w:jc w:val="both"/>
        <w:rPr>
          <w:rFonts w:ascii="Bookman Old Style" w:hAnsi="Bookman Old Style"/>
          <w:sz w:val="28"/>
          <w:szCs w:val="28"/>
        </w:rPr>
      </w:pPr>
      <w:r w:rsidRPr="001D01C7">
        <w:rPr>
          <w:rFonts w:ascii="Bookman Old Style" w:hAnsi="Bookman Old Style"/>
          <w:b/>
          <w:sz w:val="28"/>
          <w:szCs w:val="28"/>
        </w:rPr>
        <w:t xml:space="preserve">        </w:t>
      </w:r>
      <w:r w:rsidRPr="001D01C7">
        <w:rPr>
          <w:rFonts w:ascii="Bookman Old Style" w:hAnsi="Bookman Old Style"/>
          <w:b/>
          <w:sz w:val="28"/>
          <w:szCs w:val="28"/>
          <w:u w:val="single"/>
        </w:rPr>
        <w:t>Tercero</w:t>
      </w:r>
      <w:r w:rsidRPr="001D01C7">
        <w:rPr>
          <w:rFonts w:ascii="Bookman Old Style" w:hAnsi="Bookman Old Style"/>
          <w:b/>
          <w:sz w:val="28"/>
          <w:szCs w:val="28"/>
        </w:rPr>
        <w:t xml:space="preserve">: </w:t>
      </w:r>
      <w:r w:rsidRPr="001D01C7">
        <w:rPr>
          <w:rFonts w:ascii="Bookman Old Style" w:hAnsi="Bookman Old Style"/>
          <w:sz w:val="28"/>
          <w:szCs w:val="28"/>
        </w:rPr>
        <w:t xml:space="preserve">La Secretaría librará los oficios correspondientes. Además, dejará las constancias del caso. </w:t>
      </w:r>
    </w:p>
    <w:p w:rsidR="00305720" w:rsidRPr="001D01C7" w:rsidRDefault="00305720" w:rsidP="00305720">
      <w:pPr>
        <w:spacing w:line="360" w:lineRule="auto"/>
        <w:jc w:val="both"/>
        <w:rPr>
          <w:rFonts w:ascii="Bookman Old Style" w:hAnsi="Bookman Old Style"/>
          <w:sz w:val="28"/>
          <w:szCs w:val="28"/>
        </w:rPr>
      </w:pPr>
    </w:p>
    <w:p w:rsidR="00305720" w:rsidRDefault="00305720" w:rsidP="00305720">
      <w:pPr>
        <w:pStyle w:val="Ttulo2"/>
        <w:ind w:left="708" w:firstLine="708"/>
        <w:jc w:val="left"/>
        <w:rPr>
          <w:rFonts w:ascii="Bookman Old Style" w:hAnsi="Bookman Old Style"/>
          <w:szCs w:val="28"/>
        </w:rPr>
      </w:pPr>
      <w:r w:rsidRPr="001D01C7">
        <w:rPr>
          <w:rFonts w:ascii="Bookman Old Style" w:hAnsi="Bookman Old Style"/>
          <w:szCs w:val="28"/>
        </w:rPr>
        <w:t>Cópiese, notifíquese y devuélvase.</w:t>
      </w:r>
    </w:p>
    <w:p w:rsidR="00305720" w:rsidRPr="004A2C6E" w:rsidRDefault="00305720" w:rsidP="00305720">
      <w:pPr>
        <w:rPr>
          <w:lang w:val="es-ES_tradnl"/>
        </w:rPr>
      </w:pPr>
    </w:p>
    <w:p w:rsidR="00305720" w:rsidRPr="001D01C7" w:rsidRDefault="00305720" w:rsidP="00305720">
      <w:pPr>
        <w:jc w:val="center"/>
        <w:rPr>
          <w:rFonts w:ascii="Bookman Old Style" w:hAnsi="Bookman Old Style"/>
          <w:b/>
          <w:sz w:val="28"/>
          <w:szCs w:val="28"/>
        </w:rPr>
      </w:pPr>
    </w:p>
    <w:p w:rsidR="00305720" w:rsidRPr="001D01C7" w:rsidRDefault="00305720" w:rsidP="00305720">
      <w:pPr>
        <w:jc w:val="center"/>
        <w:rPr>
          <w:rFonts w:ascii="Bookman Old Style" w:hAnsi="Bookman Old Style"/>
          <w:b/>
          <w:sz w:val="28"/>
          <w:szCs w:val="28"/>
        </w:rPr>
      </w:pPr>
    </w:p>
    <w:p w:rsidR="00305720" w:rsidRPr="001D01C7" w:rsidRDefault="00305720" w:rsidP="00305720">
      <w:pPr>
        <w:jc w:val="center"/>
        <w:rPr>
          <w:rFonts w:ascii="Bookman Old Style" w:hAnsi="Bookman Old Style"/>
          <w:b/>
          <w:sz w:val="28"/>
          <w:szCs w:val="28"/>
        </w:rPr>
      </w:pPr>
    </w:p>
    <w:p w:rsidR="00305720" w:rsidRPr="001D01C7" w:rsidRDefault="00305720" w:rsidP="00305720">
      <w:pPr>
        <w:jc w:val="center"/>
        <w:rPr>
          <w:rFonts w:ascii="Bookman Old Style" w:hAnsi="Bookman Old Style"/>
          <w:b/>
          <w:sz w:val="28"/>
          <w:szCs w:val="28"/>
        </w:rPr>
      </w:pPr>
    </w:p>
    <w:p w:rsidR="00305720" w:rsidRDefault="00305720" w:rsidP="00305720">
      <w:pPr>
        <w:jc w:val="center"/>
        <w:rPr>
          <w:rFonts w:ascii="Bookman Old Style" w:hAnsi="Bookman Old Style"/>
          <w:b/>
          <w:sz w:val="28"/>
          <w:szCs w:val="28"/>
        </w:rPr>
      </w:pPr>
    </w:p>
    <w:p w:rsidR="00305720" w:rsidRPr="001D01C7" w:rsidRDefault="00305720" w:rsidP="00305720">
      <w:pPr>
        <w:jc w:val="center"/>
        <w:rPr>
          <w:rFonts w:ascii="Bookman Old Style" w:hAnsi="Bookman Old Style"/>
          <w:b/>
          <w:sz w:val="28"/>
          <w:szCs w:val="28"/>
        </w:rPr>
      </w:pPr>
    </w:p>
    <w:p w:rsidR="00305720" w:rsidRPr="001D01C7" w:rsidRDefault="00305720" w:rsidP="00305720">
      <w:pPr>
        <w:jc w:val="center"/>
        <w:rPr>
          <w:rFonts w:ascii="Bookman Old Style" w:hAnsi="Bookman Old Style"/>
          <w:sz w:val="28"/>
          <w:szCs w:val="28"/>
        </w:rPr>
      </w:pPr>
      <w:r w:rsidRPr="001D01C7">
        <w:rPr>
          <w:rFonts w:ascii="Bookman Old Style" w:hAnsi="Bookman Old Style"/>
          <w:b/>
          <w:sz w:val="28"/>
          <w:szCs w:val="28"/>
        </w:rPr>
        <w:t>MARGARITA CABELLO BLANCO</w:t>
      </w:r>
    </w:p>
    <w:p w:rsidR="00305720" w:rsidRPr="001D01C7" w:rsidRDefault="00305720" w:rsidP="007E09BC">
      <w:pPr>
        <w:jc w:val="center"/>
        <w:rPr>
          <w:rFonts w:ascii="Bookman Old Style" w:hAnsi="Bookman Old Style" w:cs="Arial"/>
          <w:b/>
          <w:sz w:val="28"/>
          <w:szCs w:val="28"/>
        </w:rPr>
      </w:pPr>
      <w:r w:rsidRPr="001D01C7">
        <w:rPr>
          <w:rFonts w:ascii="Bookman Old Style" w:hAnsi="Bookman Old Style" w:cs="Arial"/>
          <w:sz w:val="28"/>
          <w:szCs w:val="28"/>
        </w:rPr>
        <w:t>Magistrada</w:t>
      </w:r>
    </w:p>
    <w:p w:rsidR="00314600" w:rsidRDefault="00FE0CED"/>
    <w:sectPr w:rsidR="00314600" w:rsidSect="00597835">
      <w:headerReference w:type="default" r:id="rId6"/>
      <w:footerReference w:type="even" r:id="rId7"/>
      <w:footerReference w:type="default" r:id="rId8"/>
      <w:headerReference w:type="first" r:id="rId9"/>
      <w:pgSz w:w="12242" w:h="18722" w:code="14"/>
      <w:pgMar w:top="2268" w:right="1701" w:bottom="1701" w:left="2268" w:header="851"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CED" w:rsidRDefault="00FE0CED" w:rsidP="006C3880">
      <w:r>
        <w:separator/>
      </w:r>
    </w:p>
  </w:endnote>
  <w:endnote w:type="continuationSeparator" w:id="0">
    <w:p w:rsidR="00FE0CED" w:rsidRDefault="00FE0CED" w:rsidP="006C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elleyVolante BT">
    <w:altName w:val="Courier New"/>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2B" w:rsidRDefault="00AA106C" w:rsidP="00850E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6202B" w:rsidRDefault="00FE0CED" w:rsidP="00DA7D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2B" w:rsidRDefault="00AA106C" w:rsidP="00850ED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08BA">
      <w:rPr>
        <w:rStyle w:val="Nmerodepgina"/>
        <w:noProof/>
      </w:rPr>
      <w:t>5</w:t>
    </w:r>
    <w:r>
      <w:rPr>
        <w:rStyle w:val="Nmerodepgina"/>
      </w:rPr>
      <w:fldChar w:fldCharType="end"/>
    </w:r>
  </w:p>
  <w:p w:rsidR="00D6202B" w:rsidRDefault="00FE0CED" w:rsidP="00DA7D58">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CED" w:rsidRDefault="00FE0CED" w:rsidP="006C3880">
      <w:r>
        <w:separator/>
      </w:r>
    </w:p>
  </w:footnote>
  <w:footnote w:type="continuationSeparator" w:id="0">
    <w:p w:rsidR="00FE0CED" w:rsidRDefault="00FE0CED" w:rsidP="006C3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835" w:rsidRDefault="00FE0CED" w:rsidP="00597835">
    <w:pPr>
      <w:pStyle w:val="Encabezado"/>
      <w:jc w:val="right"/>
      <w:rPr>
        <w:rFonts w:ascii="Bookman Old Style" w:hAnsi="Bookman Old Style" w:cs="Arial"/>
        <w:sz w:val="20"/>
        <w:szCs w:val="20"/>
      </w:rPr>
    </w:pPr>
  </w:p>
  <w:p w:rsidR="00597835" w:rsidRDefault="00FE0CED" w:rsidP="00597835">
    <w:pPr>
      <w:pStyle w:val="Encabezado"/>
      <w:jc w:val="right"/>
      <w:rPr>
        <w:rFonts w:ascii="Bookman Old Style" w:hAnsi="Bookman Old Style" w:cs="Arial"/>
        <w:sz w:val="20"/>
        <w:szCs w:val="20"/>
      </w:rPr>
    </w:pPr>
  </w:p>
  <w:p w:rsidR="00597835" w:rsidRDefault="00FE0CED" w:rsidP="00597835">
    <w:pPr>
      <w:pStyle w:val="Encabezado"/>
      <w:jc w:val="right"/>
      <w:rPr>
        <w:rFonts w:ascii="Bookman Old Style" w:hAnsi="Bookman Old Style" w:cs="Arial"/>
        <w:sz w:val="20"/>
        <w:szCs w:val="20"/>
      </w:rPr>
    </w:pPr>
  </w:p>
  <w:p w:rsidR="00597835" w:rsidRPr="00597835" w:rsidRDefault="00AA106C" w:rsidP="00597835">
    <w:pPr>
      <w:pStyle w:val="Encabezado"/>
      <w:jc w:val="right"/>
      <w:rPr>
        <w:sz w:val="20"/>
        <w:szCs w:val="20"/>
      </w:rPr>
    </w:pPr>
    <w:r w:rsidRPr="00597835">
      <w:rPr>
        <w:rFonts w:ascii="Bookman Old Style" w:hAnsi="Bookman Old Style" w:cs="Arial"/>
        <w:sz w:val="20"/>
        <w:szCs w:val="20"/>
      </w:rPr>
      <w:t xml:space="preserve">Radicación </w:t>
    </w:r>
    <w:r w:rsidR="006C3880">
      <w:rPr>
        <w:rFonts w:ascii="Bookman Old Style" w:hAnsi="Bookman Old Style" w:cs="Arial"/>
        <w:sz w:val="20"/>
        <w:szCs w:val="20"/>
      </w:rPr>
      <w:t>n° 11001 02 03 000 2015 01608 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1C7" w:rsidRPr="00C447DE" w:rsidRDefault="00AA106C" w:rsidP="001D01C7">
    <w:pPr>
      <w:pStyle w:val="Ttulo2"/>
      <w:rPr>
        <w:rFonts w:ascii="Monotype Corsiva" w:hAnsi="Monotype Corsiva"/>
        <w:b w:val="0"/>
        <w:szCs w:val="28"/>
      </w:rPr>
    </w:pPr>
    <w:r w:rsidRPr="00C447DE">
      <w:rPr>
        <w:rFonts w:ascii="Monotype Corsiva" w:hAnsi="Monotype Corsiva"/>
        <w:b w:val="0"/>
        <w:szCs w:val="28"/>
      </w:rPr>
      <w:t>República de Colombia</w:t>
    </w:r>
  </w:p>
  <w:p w:rsidR="001D01C7" w:rsidRPr="0040380B" w:rsidRDefault="00AA106C" w:rsidP="001D01C7">
    <w:pPr>
      <w:jc w:val="center"/>
      <w:rPr>
        <w:rFonts w:ascii="Monotype Corsiva" w:hAnsi="Monotype Corsiva"/>
        <w:bCs/>
        <w:szCs w:val="28"/>
      </w:rPr>
    </w:pPr>
    <w:r>
      <w:rPr>
        <w:rFonts w:ascii="Monotype Corsiva" w:hAnsi="Monotype Corsiva"/>
        <w:bCs/>
        <w:noProof/>
        <w:szCs w:val="28"/>
        <w:lang w:eastAsia="es-CO"/>
      </w:rPr>
      <w:drawing>
        <wp:inline distT="0" distB="0" distL="0" distR="0" wp14:anchorId="0F49A061" wp14:editId="169A6A81">
          <wp:extent cx="714375" cy="485775"/>
          <wp:effectExtent l="0" t="0" r="9525" b="9525"/>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p>
  <w:p w:rsidR="001D01C7" w:rsidRPr="0040380B" w:rsidRDefault="00AA106C" w:rsidP="001D01C7">
    <w:pPr>
      <w:pStyle w:val="Descripcin"/>
      <w:rPr>
        <w:rFonts w:ascii="Monotype Corsiva" w:hAnsi="Monotype Corsiva"/>
        <w:b w:val="0"/>
        <w:szCs w:val="28"/>
      </w:rPr>
    </w:pPr>
    <w:r w:rsidRPr="0040380B">
      <w:rPr>
        <w:rFonts w:ascii="Monotype Corsiva" w:hAnsi="Monotype Corsiva"/>
        <w:b w:val="0"/>
        <w:szCs w:val="28"/>
      </w:rPr>
      <w:t>Corte Suprema de Justicia</w:t>
    </w:r>
  </w:p>
  <w:p w:rsidR="001D01C7" w:rsidRDefault="00FE0C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BE"/>
    <w:rsid w:val="00013862"/>
    <w:rsid w:val="000522C9"/>
    <w:rsid w:val="00053C3E"/>
    <w:rsid w:val="00055029"/>
    <w:rsid w:val="00077746"/>
    <w:rsid w:val="00080BDA"/>
    <w:rsid w:val="000A0C2D"/>
    <w:rsid w:val="000B6E99"/>
    <w:rsid w:val="000B7CC0"/>
    <w:rsid w:val="000E37E7"/>
    <w:rsid w:val="000F7ABA"/>
    <w:rsid w:val="00112E6D"/>
    <w:rsid w:val="00135CA2"/>
    <w:rsid w:val="001423F3"/>
    <w:rsid w:val="0015186D"/>
    <w:rsid w:val="00171405"/>
    <w:rsid w:val="0017478C"/>
    <w:rsid w:val="00193693"/>
    <w:rsid w:val="001A7A76"/>
    <w:rsid w:val="001B165C"/>
    <w:rsid w:val="001D1578"/>
    <w:rsid w:val="001F505D"/>
    <w:rsid w:val="00225D68"/>
    <w:rsid w:val="00247C9A"/>
    <w:rsid w:val="00250718"/>
    <w:rsid w:val="00253D4A"/>
    <w:rsid w:val="00260F40"/>
    <w:rsid w:val="002A1E6F"/>
    <w:rsid w:val="002C3B81"/>
    <w:rsid w:val="002D1634"/>
    <w:rsid w:val="002E3D63"/>
    <w:rsid w:val="00305720"/>
    <w:rsid w:val="00310063"/>
    <w:rsid w:val="00322AA6"/>
    <w:rsid w:val="0040288B"/>
    <w:rsid w:val="004159F6"/>
    <w:rsid w:val="004366B3"/>
    <w:rsid w:val="00437784"/>
    <w:rsid w:val="004447B3"/>
    <w:rsid w:val="0047761B"/>
    <w:rsid w:val="004C3161"/>
    <w:rsid w:val="004D0F5E"/>
    <w:rsid w:val="00507D1B"/>
    <w:rsid w:val="0057704E"/>
    <w:rsid w:val="0059341E"/>
    <w:rsid w:val="00595E58"/>
    <w:rsid w:val="005A1D39"/>
    <w:rsid w:val="005A249F"/>
    <w:rsid w:val="0066457C"/>
    <w:rsid w:val="0069613C"/>
    <w:rsid w:val="006B2378"/>
    <w:rsid w:val="006C3880"/>
    <w:rsid w:val="006C7FE4"/>
    <w:rsid w:val="006F4037"/>
    <w:rsid w:val="00750914"/>
    <w:rsid w:val="007510F3"/>
    <w:rsid w:val="00753EF2"/>
    <w:rsid w:val="007D5129"/>
    <w:rsid w:val="007E09BC"/>
    <w:rsid w:val="007E3E58"/>
    <w:rsid w:val="007F0472"/>
    <w:rsid w:val="008436CA"/>
    <w:rsid w:val="00872663"/>
    <w:rsid w:val="008728E8"/>
    <w:rsid w:val="00876503"/>
    <w:rsid w:val="0088416A"/>
    <w:rsid w:val="008A5D0D"/>
    <w:rsid w:val="008B3CB9"/>
    <w:rsid w:val="008C27FA"/>
    <w:rsid w:val="008D441F"/>
    <w:rsid w:val="008F5F55"/>
    <w:rsid w:val="008F6004"/>
    <w:rsid w:val="00920030"/>
    <w:rsid w:val="00921890"/>
    <w:rsid w:val="00922CC8"/>
    <w:rsid w:val="0093497F"/>
    <w:rsid w:val="00947CDE"/>
    <w:rsid w:val="00983EE9"/>
    <w:rsid w:val="009D20A4"/>
    <w:rsid w:val="009F2AAB"/>
    <w:rsid w:val="00A021A2"/>
    <w:rsid w:val="00A672B7"/>
    <w:rsid w:val="00A7026F"/>
    <w:rsid w:val="00AA106C"/>
    <w:rsid w:val="00AA1676"/>
    <w:rsid w:val="00AC0B18"/>
    <w:rsid w:val="00AC2186"/>
    <w:rsid w:val="00AD171E"/>
    <w:rsid w:val="00AF58A9"/>
    <w:rsid w:val="00B429B1"/>
    <w:rsid w:val="00B50813"/>
    <w:rsid w:val="00B67C05"/>
    <w:rsid w:val="00B915F7"/>
    <w:rsid w:val="00BB6637"/>
    <w:rsid w:val="00BC6A8A"/>
    <w:rsid w:val="00BC7204"/>
    <w:rsid w:val="00BE2678"/>
    <w:rsid w:val="00C05618"/>
    <w:rsid w:val="00C242ED"/>
    <w:rsid w:val="00C553BE"/>
    <w:rsid w:val="00C5652A"/>
    <w:rsid w:val="00C67981"/>
    <w:rsid w:val="00C71110"/>
    <w:rsid w:val="00CC5BF8"/>
    <w:rsid w:val="00D00D0D"/>
    <w:rsid w:val="00D10E32"/>
    <w:rsid w:val="00D45DC4"/>
    <w:rsid w:val="00D508BA"/>
    <w:rsid w:val="00D51919"/>
    <w:rsid w:val="00D522E7"/>
    <w:rsid w:val="00DB03A7"/>
    <w:rsid w:val="00DB3880"/>
    <w:rsid w:val="00DB696C"/>
    <w:rsid w:val="00DD78E6"/>
    <w:rsid w:val="00DF1738"/>
    <w:rsid w:val="00E108A5"/>
    <w:rsid w:val="00E13E69"/>
    <w:rsid w:val="00E166A5"/>
    <w:rsid w:val="00E2267F"/>
    <w:rsid w:val="00E556B3"/>
    <w:rsid w:val="00E7444C"/>
    <w:rsid w:val="00EC2EA2"/>
    <w:rsid w:val="00EC7C66"/>
    <w:rsid w:val="00ED769D"/>
    <w:rsid w:val="00EE22A0"/>
    <w:rsid w:val="00EF1633"/>
    <w:rsid w:val="00F1141B"/>
    <w:rsid w:val="00F202A6"/>
    <w:rsid w:val="00F4193F"/>
    <w:rsid w:val="00F42B43"/>
    <w:rsid w:val="00F579EB"/>
    <w:rsid w:val="00F66652"/>
    <w:rsid w:val="00F71172"/>
    <w:rsid w:val="00FA62AA"/>
    <w:rsid w:val="00FB165B"/>
    <w:rsid w:val="00FD2588"/>
    <w:rsid w:val="00FD7495"/>
    <w:rsid w:val="00FE0CED"/>
    <w:rsid w:val="00FE1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2BD67-8FC3-493C-8443-DA930BDD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8"/>
        <w:szCs w:val="28"/>
        <w:lang w:val="es-CO"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20"/>
    <w:pPr>
      <w:spacing w:line="240" w:lineRule="auto"/>
      <w:jc w:val="left"/>
    </w:pPr>
    <w:rPr>
      <w:rFonts w:ascii="Times New Roman" w:eastAsia="Calibri" w:hAnsi="Times New Roman"/>
      <w:sz w:val="24"/>
      <w:szCs w:val="24"/>
      <w:lang w:eastAsia="es-ES"/>
    </w:rPr>
  </w:style>
  <w:style w:type="paragraph" w:styleId="Ttulo2">
    <w:name w:val="heading 2"/>
    <w:basedOn w:val="Normal"/>
    <w:next w:val="Normal"/>
    <w:link w:val="Ttulo2Car"/>
    <w:qFormat/>
    <w:rsid w:val="00305720"/>
    <w:pPr>
      <w:keepNext/>
      <w:spacing w:line="360" w:lineRule="auto"/>
      <w:jc w:val="center"/>
      <w:outlineLvl w:val="1"/>
    </w:pPr>
    <w:rPr>
      <w:rFonts w:ascii="Century Gothic" w:hAnsi="Century Gothic"/>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5720"/>
    <w:rPr>
      <w:rFonts w:ascii="Century Gothic" w:eastAsia="Calibri" w:hAnsi="Century Gothic"/>
      <w:b/>
      <w:szCs w:val="20"/>
      <w:lang w:val="es-ES_tradnl" w:eastAsia="es-ES"/>
    </w:rPr>
  </w:style>
  <w:style w:type="paragraph" w:styleId="Encabezado">
    <w:name w:val="header"/>
    <w:basedOn w:val="Normal"/>
    <w:link w:val="EncabezadoCar"/>
    <w:rsid w:val="00305720"/>
    <w:pPr>
      <w:tabs>
        <w:tab w:val="center" w:pos="4252"/>
        <w:tab w:val="right" w:pos="8504"/>
      </w:tabs>
    </w:pPr>
  </w:style>
  <w:style w:type="character" w:customStyle="1" w:styleId="EncabezadoCar">
    <w:name w:val="Encabezado Car"/>
    <w:basedOn w:val="Fuentedeprrafopredeter"/>
    <w:link w:val="Encabezado"/>
    <w:rsid w:val="00305720"/>
    <w:rPr>
      <w:rFonts w:ascii="Times New Roman" w:eastAsia="Calibri" w:hAnsi="Times New Roman"/>
      <w:sz w:val="24"/>
      <w:szCs w:val="24"/>
      <w:lang w:eastAsia="es-ES"/>
    </w:rPr>
  </w:style>
  <w:style w:type="paragraph" w:styleId="Piedepgina">
    <w:name w:val="footer"/>
    <w:basedOn w:val="Normal"/>
    <w:link w:val="PiedepginaCar"/>
    <w:rsid w:val="00305720"/>
    <w:pPr>
      <w:tabs>
        <w:tab w:val="center" w:pos="4252"/>
        <w:tab w:val="right" w:pos="8504"/>
      </w:tabs>
    </w:pPr>
  </w:style>
  <w:style w:type="character" w:customStyle="1" w:styleId="PiedepginaCar">
    <w:name w:val="Pie de página Car"/>
    <w:basedOn w:val="Fuentedeprrafopredeter"/>
    <w:link w:val="Piedepgina"/>
    <w:rsid w:val="00305720"/>
    <w:rPr>
      <w:rFonts w:ascii="Times New Roman" w:eastAsia="Calibri" w:hAnsi="Times New Roman"/>
      <w:sz w:val="24"/>
      <w:szCs w:val="24"/>
      <w:lang w:eastAsia="es-ES"/>
    </w:rPr>
  </w:style>
  <w:style w:type="paragraph" w:styleId="Descripcin">
    <w:name w:val="caption"/>
    <w:basedOn w:val="Normal"/>
    <w:next w:val="Normal"/>
    <w:qFormat/>
    <w:rsid w:val="00305720"/>
    <w:pPr>
      <w:jc w:val="center"/>
    </w:pPr>
    <w:rPr>
      <w:rFonts w:ascii="ShelleyVolante BT" w:hAnsi="ShelleyVolante BT"/>
      <w:b/>
      <w:bCs/>
      <w:sz w:val="28"/>
      <w:lang w:val="es-ES"/>
    </w:rPr>
  </w:style>
  <w:style w:type="character" w:styleId="Nmerodepgina">
    <w:name w:val="page number"/>
    <w:basedOn w:val="Fuentedeprrafopredeter"/>
    <w:rsid w:val="00305720"/>
    <w:rPr>
      <w:rFonts w:cs="Times New Roman"/>
    </w:rPr>
  </w:style>
  <w:style w:type="paragraph" w:styleId="Textoindependiente">
    <w:name w:val="Body Text"/>
    <w:basedOn w:val="Normal"/>
    <w:link w:val="TextoindependienteCar"/>
    <w:rsid w:val="00305720"/>
    <w:pPr>
      <w:spacing w:after="120"/>
    </w:pPr>
    <w:rPr>
      <w:rFonts w:eastAsia="Times New Roman"/>
      <w:lang w:val="es-ES"/>
    </w:rPr>
  </w:style>
  <w:style w:type="character" w:customStyle="1" w:styleId="TextoindependienteCar">
    <w:name w:val="Texto independiente Car"/>
    <w:basedOn w:val="Fuentedeprrafopredeter"/>
    <w:link w:val="Textoindependiente"/>
    <w:rsid w:val="00305720"/>
    <w:rPr>
      <w:rFonts w:ascii="Times New Roman" w:eastAsia="Times New Roman" w:hAnsi="Times New Roman"/>
      <w:sz w:val="24"/>
      <w:szCs w:val="24"/>
      <w:lang w:val="es-ES" w:eastAsia="es-ES"/>
    </w:rPr>
  </w:style>
  <w:style w:type="paragraph" w:customStyle="1" w:styleId="Estilo2">
    <w:name w:val="Estilo2"/>
    <w:basedOn w:val="Normal"/>
    <w:rsid w:val="00305720"/>
    <w:pPr>
      <w:jc w:val="both"/>
    </w:pPr>
    <w:rPr>
      <w:rFonts w:ascii="Bookman Old Style" w:eastAsia="Times New Roman" w:hAnsi="Bookman Old Style"/>
      <w:i/>
      <w:szCs w:val="20"/>
      <w:lang w:val="es-ES"/>
    </w:rPr>
  </w:style>
  <w:style w:type="paragraph" w:styleId="Textodeglobo">
    <w:name w:val="Balloon Text"/>
    <w:basedOn w:val="Normal"/>
    <w:link w:val="TextodegloboCar"/>
    <w:uiPriority w:val="99"/>
    <w:semiHidden/>
    <w:unhideWhenUsed/>
    <w:rsid w:val="00305720"/>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720"/>
    <w:rPr>
      <w:rFonts w:ascii="Tahoma" w:eastAsia="Calibri" w:hAnsi="Tahoma" w:cs="Tahoma"/>
      <w:sz w:val="16"/>
      <w:szCs w:val="16"/>
      <w:lang w:eastAsia="es-ES"/>
    </w:rPr>
  </w:style>
  <w:style w:type="paragraph" w:styleId="Prrafodelista">
    <w:name w:val="List Paragraph"/>
    <w:basedOn w:val="Normal"/>
    <w:uiPriority w:val="34"/>
    <w:qFormat/>
    <w:rsid w:val="00CC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1407</Words>
  <Characters>7740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Guillermo Abreo Triviño</dc:creator>
  <cp:keywords/>
  <dc:description/>
  <cp:lastModifiedBy>Maria Monica Faciolince Gómez</cp:lastModifiedBy>
  <cp:revision>2</cp:revision>
  <cp:lastPrinted>2016-05-02T17:36:00Z</cp:lastPrinted>
  <dcterms:created xsi:type="dcterms:W3CDTF">2016-05-20T19:22:00Z</dcterms:created>
  <dcterms:modified xsi:type="dcterms:W3CDTF">2016-05-20T19:22:00Z</dcterms:modified>
</cp:coreProperties>
</file>