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9C1173" w14:textId="77777777" w:rsidR="004B59FF" w:rsidRDefault="004B59FF" w:rsidP="00D036E3">
      <w:pPr>
        <w:tabs>
          <w:tab w:val="left" w:pos="5054"/>
        </w:tabs>
        <w:overflowPunct w:val="0"/>
        <w:autoSpaceDE w:val="0"/>
        <w:autoSpaceDN w:val="0"/>
        <w:adjustRightInd w:val="0"/>
        <w:spacing w:line="360" w:lineRule="auto"/>
        <w:textAlignment w:val="baseline"/>
        <w:rPr>
          <w:rFonts w:ascii="Bookman Old Style" w:eastAsia="Times New Roman" w:hAnsi="Bookman Old Style" w:cs="Arial"/>
          <w:b/>
          <w:sz w:val="28"/>
          <w:szCs w:val="28"/>
          <w:lang w:val="es-ES_tradnl" w:eastAsia="es-ES"/>
        </w:rPr>
      </w:pPr>
    </w:p>
    <w:p w14:paraId="1156447E" w14:textId="05A8FA9D" w:rsidR="00B87A20" w:rsidRPr="00896B54" w:rsidRDefault="00B87A20" w:rsidP="00D036E3">
      <w:pPr>
        <w:tabs>
          <w:tab w:val="left" w:pos="5054"/>
        </w:tabs>
        <w:overflowPunct w:val="0"/>
        <w:autoSpaceDE w:val="0"/>
        <w:autoSpaceDN w:val="0"/>
        <w:adjustRightInd w:val="0"/>
        <w:spacing w:line="360" w:lineRule="auto"/>
        <w:textAlignment w:val="baseline"/>
        <w:rPr>
          <w:rFonts w:ascii="Bookman Old Style" w:eastAsia="Times New Roman" w:hAnsi="Bookman Old Style" w:cs="Arial"/>
          <w:sz w:val="28"/>
          <w:szCs w:val="28"/>
          <w:lang w:eastAsia="es-ES"/>
        </w:rPr>
      </w:pPr>
    </w:p>
    <w:p w14:paraId="358E55D7" w14:textId="2074A33B" w:rsidR="00B87A20" w:rsidRPr="00896B54" w:rsidRDefault="00C91C53" w:rsidP="00B87A20">
      <w:pPr>
        <w:overflowPunct w:val="0"/>
        <w:autoSpaceDE w:val="0"/>
        <w:autoSpaceDN w:val="0"/>
        <w:adjustRightInd w:val="0"/>
        <w:spacing w:line="360" w:lineRule="auto"/>
        <w:jc w:val="center"/>
        <w:textAlignment w:val="baseline"/>
        <w:rPr>
          <w:rFonts w:ascii="Bookman Old Style" w:eastAsia="Times New Roman" w:hAnsi="Bookman Old Style" w:cs="Arial"/>
          <w:b/>
          <w:sz w:val="28"/>
          <w:szCs w:val="28"/>
          <w:lang w:eastAsia="es-ES"/>
        </w:rPr>
      </w:pPr>
      <w:r>
        <w:rPr>
          <w:rFonts w:ascii="Bookman Old Style" w:eastAsia="Times New Roman" w:hAnsi="Bookman Old Style" w:cs="Arial"/>
          <w:b/>
          <w:sz w:val="28"/>
          <w:szCs w:val="28"/>
          <w:lang w:eastAsia="es-ES"/>
        </w:rPr>
        <w:t>DIEGO EUGENIO CORREDOR BELTRÁN</w:t>
      </w:r>
    </w:p>
    <w:p w14:paraId="307FD832" w14:textId="77777777" w:rsidR="00B87A20" w:rsidRPr="00896B54" w:rsidRDefault="00B87A20" w:rsidP="00B87A20">
      <w:pPr>
        <w:keepNext/>
        <w:tabs>
          <w:tab w:val="center" w:pos="4420"/>
          <w:tab w:val="left" w:pos="7530"/>
        </w:tabs>
        <w:overflowPunct w:val="0"/>
        <w:autoSpaceDE w:val="0"/>
        <w:autoSpaceDN w:val="0"/>
        <w:adjustRightInd w:val="0"/>
        <w:spacing w:line="360" w:lineRule="auto"/>
        <w:jc w:val="center"/>
        <w:textAlignment w:val="baseline"/>
        <w:outlineLvl w:val="0"/>
        <w:rPr>
          <w:rFonts w:ascii="Bookman Old Style" w:eastAsia="Times New Roman" w:hAnsi="Bookman Old Style" w:cs="Arial"/>
          <w:b/>
          <w:bCs/>
          <w:kern w:val="32"/>
          <w:sz w:val="28"/>
          <w:szCs w:val="28"/>
          <w:lang w:eastAsia="es-ES"/>
        </w:rPr>
      </w:pPr>
      <w:r w:rsidRPr="00896B54">
        <w:rPr>
          <w:rFonts w:ascii="Bookman Old Style" w:eastAsia="Times New Roman" w:hAnsi="Bookman Old Style" w:cs="Arial"/>
          <w:b/>
          <w:bCs/>
          <w:kern w:val="32"/>
          <w:sz w:val="28"/>
          <w:szCs w:val="28"/>
          <w:lang w:eastAsia="es-ES"/>
        </w:rPr>
        <w:t>Magistrado ponente</w:t>
      </w:r>
    </w:p>
    <w:p w14:paraId="3395CDC2" w14:textId="77777777" w:rsidR="00B87A20" w:rsidRPr="00896B54" w:rsidRDefault="00B87A20" w:rsidP="00B87A20">
      <w:pPr>
        <w:spacing w:line="360" w:lineRule="auto"/>
        <w:jc w:val="center"/>
        <w:rPr>
          <w:rFonts w:ascii="Bookman Old Style" w:hAnsi="Bookman Old Style" w:cs="Arial"/>
          <w:sz w:val="28"/>
          <w:szCs w:val="28"/>
        </w:rPr>
      </w:pPr>
    </w:p>
    <w:p w14:paraId="7BFBFB82" w14:textId="77777777" w:rsidR="00F351C0" w:rsidRPr="00896B54" w:rsidRDefault="00F351C0" w:rsidP="00F351C0">
      <w:pPr>
        <w:spacing w:line="360" w:lineRule="auto"/>
        <w:jc w:val="center"/>
        <w:rPr>
          <w:rFonts w:ascii="Bookman Old Style" w:hAnsi="Bookman Old Style" w:cs="Arial"/>
          <w:b/>
          <w:sz w:val="28"/>
          <w:szCs w:val="28"/>
        </w:rPr>
      </w:pPr>
      <w:r>
        <w:rPr>
          <w:rFonts w:ascii="Bookman Old Style" w:hAnsi="Bookman Old Style" w:cs="Arial"/>
          <w:b/>
          <w:sz w:val="28"/>
          <w:szCs w:val="28"/>
        </w:rPr>
        <w:t>STP11517-2021</w:t>
      </w:r>
    </w:p>
    <w:p w14:paraId="0CECA08B" w14:textId="77777777" w:rsidR="00F351C0" w:rsidRDefault="00F351C0" w:rsidP="00F351C0">
      <w:pPr>
        <w:spacing w:line="360" w:lineRule="auto"/>
        <w:jc w:val="center"/>
        <w:rPr>
          <w:rFonts w:ascii="Bookman Old Style" w:hAnsi="Bookman Old Style" w:cs="Estrangelo Edessa"/>
          <w:b/>
          <w:sz w:val="28"/>
          <w:szCs w:val="28"/>
        </w:rPr>
      </w:pPr>
      <w:r w:rsidRPr="006E167F">
        <w:rPr>
          <w:rFonts w:ascii="Bookman Old Style" w:hAnsi="Bookman Old Style" w:cs="Estrangelo Edessa"/>
          <w:b/>
          <w:sz w:val="28"/>
          <w:szCs w:val="28"/>
        </w:rPr>
        <w:t xml:space="preserve">Radicación </w:t>
      </w:r>
      <w:proofErr w:type="spellStart"/>
      <w:r w:rsidRPr="006E167F">
        <w:rPr>
          <w:rFonts w:ascii="Bookman Old Style" w:hAnsi="Bookman Old Style" w:cs="Estrangelo Edessa"/>
          <w:b/>
          <w:sz w:val="28"/>
          <w:szCs w:val="28"/>
        </w:rPr>
        <w:t>n°</w:t>
      </w:r>
      <w:proofErr w:type="spellEnd"/>
      <w:r w:rsidRPr="006E167F">
        <w:rPr>
          <w:rFonts w:ascii="Bookman Old Style" w:hAnsi="Bookman Old Style" w:cs="Estrangelo Edessa"/>
          <w:b/>
          <w:sz w:val="28"/>
          <w:szCs w:val="28"/>
        </w:rPr>
        <w:t xml:space="preserve"> </w:t>
      </w:r>
      <w:r>
        <w:rPr>
          <w:rFonts w:ascii="Bookman Old Style" w:hAnsi="Bookman Old Style" w:cs="Estrangelo Edessa"/>
          <w:b/>
          <w:sz w:val="28"/>
          <w:szCs w:val="28"/>
        </w:rPr>
        <w:t>118027</w:t>
      </w:r>
    </w:p>
    <w:p w14:paraId="6CD7A0C7" w14:textId="77777777" w:rsidR="00F351C0" w:rsidRPr="006E167F" w:rsidRDefault="00F351C0" w:rsidP="00F351C0">
      <w:pPr>
        <w:spacing w:line="360" w:lineRule="auto"/>
        <w:jc w:val="center"/>
        <w:rPr>
          <w:rFonts w:ascii="Bookman Old Style" w:hAnsi="Bookman Old Style" w:cs="Arial"/>
          <w:sz w:val="28"/>
          <w:szCs w:val="28"/>
        </w:rPr>
      </w:pPr>
      <w:r w:rsidRPr="006E167F">
        <w:rPr>
          <w:rFonts w:ascii="Bookman Old Style" w:hAnsi="Bookman Old Style" w:cs="Arial"/>
          <w:sz w:val="28"/>
          <w:szCs w:val="28"/>
        </w:rPr>
        <w:t xml:space="preserve">Acta </w:t>
      </w:r>
      <w:r>
        <w:rPr>
          <w:rFonts w:ascii="Bookman Old Style" w:hAnsi="Bookman Old Style" w:cs="Arial"/>
          <w:sz w:val="28"/>
          <w:szCs w:val="28"/>
        </w:rPr>
        <w:t>198.</w:t>
      </w:r>
    </w:p>
    <w:p w14:paraId="561A4971" w14:textId="77777777" w:rsidR="00B87A20" w:rsidRPr="006E167F" w:rsidRDefault="00B87A20" w:rsidP="00B87A20">
      <w:pPr>
        <w:spacing w:line="360" w:lineRule="auto"/>
        <w:jc w:val="both"/>
        <w:rPr>
          <w:rFonts w:ascii="Bookman Old Style" w:hAnsi="Bookman Old Style" w:cs="Arial"/>
          <w:sz w:val="28"/>
          <w:szCs w:val="28"/>
        </w:rPr>
      </w:pPr>
    </w:p>
    <w:p w14:paraId="5E8E8394" w14:textId="383E5C9F" w:rsidR="00B87A20" w:rsidRPr="006E167F" w:rsidRDefault="00B87A20" w:rsidP="004C4689">
      <w:pPr>
        <w:spacing w:line="360" w:lineRule="auto"/>
        <w:ind w:firstLine="709"/>
        <w:jc w:val="both"/>
        <w:rPr>
          <w:rFonts w:ascii="Bookman Old Style" w:hAnsi="Bookman Old Style" w:cs="Arial"/>
          <w:sz w:val="28"/>
          <w:szCs w:val="28"/>
        </w:rPr>
      </w:pPr>
      <w:r w:rsidRPr="006E167F">
        <w:rPr>
          <w:rFonts w:ascii="Bookman Old Style" w:hAnsi="Bookman Old Style" w:cs="Arial"/>
          <w:sz w:val="28"/>
          <w:szCs w:val="28"/>
        </w:rPr>
        <w:t xml:space="preserve">Bogotá, D.C., </w:t>
      </w:r>
      <w:r w:rsidR="00D3489B">
        <w:rPr>
          <w:rFonts w:ascii="Bookman Old Style" w:hAnsi="Bookman Old Style" w:cs="Arial"/>
          <w:sz w:val="28"/>
          <w:szCs w:val="28"/>
        </w:rPr>
        <w:t>cinco</w:t>
      </w:r>
      <w:r w:rsidR="008D0D08" w:rsidRPr="006E167F">
        <w:rPr>
          <w:rFonts w:ascii="Bookman Old Style" w:hAnsi="Bookman Old Style" w:cs="Arial"/>
          <w:sz w:val="28"/>
          <w:szCs w:val="28"/>
        </w:rPr>
        <w:t xml:space="preserve"> </w:t>
      </w:r>
      <w:r w:rsidR="00A705BD" w:rsidRPr="006E167F">
        <w:rPr>
          <w:rFonts w:ascii="Bookman Old Style" w:hAnsi="Bookman Old Style" w:cs="Arial"/>
          <w:sz w:val="28"/>
          <w:szCs w:val="28"/>
        </w:rPr>
        <w:t>(</w:t>
      </w:r>
      <w:r w:rsidR="00D3489B">
        <w:rPr>
          <w:rFonts w:ascii="Bookman Old Style" w:hAnsi="Bookman Old Style" w:cs="Arial"/>
          <w:sz w:val="28"/>
          <w:szCs w:val="28"/>
        </w:rPr>
        <w:t>5</w:t>
      </w:r>
      <w:r w:rsidR="008D0D08" w:rsidRPr="006E167F">
        <w:rPr>
          <w:rFonts w:ascii="Bookman Old Style" w:hAnsi="Bookman Old Style" w:cs="Arial"/>
          <w:sz w:val="28"/>
          <w:szCs w:val="28"/>
        </w:rPr>
        <w:t xml:space="preserve">) de </w:t>
      </w:r>
      <w:r w:rsidR="00D3489B">
        <w:rPr>
          <w:rFonts w:ascii="Bookman Old Style" w:hAnsi="Bookman Old Style" w:cs="Arial"/>
          <w:sz w:val="28"/>
          <w:szCs w:val="28"/>
        </w:rPr>
        <w:t>agosto</w:t>
      </w:r>
      <w:r w:rsidR="00D036E3">
        <w:rPr>
          <w:rFonts w:ascii="Bookman Old Style" w:hAnsi="Bookman Old Style" w:cs="Arial"/>
          <w:sz w:val="28"/>
          <w:szCs w:val="28"/>
        </w:rPr>
        <w:t xml:space="preserve"> de dos mil </w:t>
      </w:r>
      <w:r w:rsidR="00C91C53">
        <w:rPr>
          <w:rFonts w:ascii="Bookman Old Style" w:hAnsi="Bookman Old Style" w:cs="Arial"/>
          <w:sz w:val="28"/>
          <w:szCs w:val="28"/>
        </w:rPr>
        <w:t xml:space="preserve">veintiuno </w:t>
      </w:r>
      <w:r w:rsidR="00B2746F">
        <w:rPr>
          <w:rFonts w:ascii="Bookman Old Style" w:hAnsi="Bookman Old Style" w:cs="Arial"/>
          <w:sz w:val="28"/>
          <w:szCs w:val="28"/>
        </w:rPr>
        <w:t>(</w:t>
      </w:r>
      <w:r w:rsidR="00C91C53">
        <w:rPr>
          <w:rFonts w:ascii="Bookman Old Style" w:hAnsi="Bookman Old Style" w:cs="Arial"/>
          <w:sz w:val="28"/>
          <w:szCs w:val="28"/>
        </w:rPr>
        <w:t>2021</w:t>
      </w:r>
      <w:r w:rsidRPr="006E167F">
        <w:rPr>
          <w:rFonts w:ascii="Bookman Old Style" w:hAnsi="Bookman Old Style" w:cs="Arial"/>
          <w:sz w:val="28"/>
          <w:szCs w:val="28"/>
        </w:rPr>
        <w:t>).</w:t>
      </w:r>
    </w:p>
    <w:p w14:paraId="1C5AB2B0" w14:textId="77777777" w:rsidR="00B87A20" w:rsidRDefault="00B87A20" w:rsidP="00B87A20">
      <w:pPr>
        <w:rPr>
          <w:lang w:eastAsia="es-ES"/>
        </w:rPr>
      </w:pPr>
    </w:p>
    <w:p w14:paraId="5E85CF52" w14:textId="77777777" w:rsidR="004F30D0" w:rsidRPr="006E167F" w:rsidRDefault="004F30D0" w:rsidP="00B87A20">
      <w:pPr>
        <w:rPr>
          <w:lang w:eastAsia="es-ES"/>
        </w:rPr>
      </w:pPr>
    </w:p>
    <w:p w14:paraId="4E6F5E45" w14:textId="77777777" w:rsidR="00B87A20" w:rsidRPr="00266693" w:rsidRDefault="00996C1F" w:rsidP="00B87A20">
      <w:pPr>
        <w:pStyle w:val="Ttulo2"/>
        <w:rPr>
          <w:rFonts w:ascii="Bookman Old Style" w:hAnsi="Bookman Old Style" w:cs="Arial"/>
          <w:sz w:val="28"/>
          <w:szCs w:val="28"/>
        </w:rPr>
      </w:pPr>
      <w:r>
        <w:rPr>
          <w:rFonts w:ascii="Bookman Old Style" w:hAnsi="Bookman Old Style" w:cs="Arial"/>
          <w:sz w:val="28"/>
          <w:szCs w:val="28"/>
        </w:rPr>
        <w:t>ASUNTO</w:t>
      </w:r>
    </w:p>
    <w:p w14:paraId="218062F9" w14:textId="77777777" w:rsidR="00B87A20" w:rsidRPr="00266693" w:rsidRDefault="00B87A20" w:rsidP="00B87A20">
      <w:pPr>
        <w:spacing w:line="360" w:lineRule="auto"/>
        <w:jc w:val="both"/>
        <w:rPr>
          <w:rFonts w:ascii="Bookman Old Style" w:hAnsi="Bookman Old Style" w:cs="Arial"/>
          <w:sz w:val="28"/>
          <w:szCs w:val="28"/>
        </w:rPr>
      </w:pPr>
    </w:p>
    <w:p w14:paraId="0136C77C" w14:textId="7D44136D" w:rsidR="00D3489B" w:rsidRDefault="00383B1A" w:rsidP="00D3489B">
      <w:pPr>
        <w:spacing w:line="360" w:lineRule="auto"/>
        <w:ind w:right="6" w:firstLine="720"/>
        <w:jc w:val="both"/>
        <w:rPr>
          <w:rFonts w:ascii="Bookman Old Style" w:hAnsi="Bookman Old Style"/>
          <w:sz w:val="28"/>
          <w:szCs w:val="28"/>
          <w:lang w:val="es-ES_tradnl"/>
        </w:rPr>
      </w:pPr>
      <w:r>
        <w:rPr>
          <w:rFonts w:ascii="Bookman Old Style" w:hAnsi="Bookman Old Style"/>
          <w:sz w:val="28"/>
          <w:szCs w:val="28"/>
        </w:rPr>
        <w:t>Decide la Sala</w:t>
      </w:r>
      <w:r w:rsidR="00D2504D">
        <w:rPr>
          <w:rFonts w:ascii="Bookman Old Style" w:hAnsi="Bookman Old Style"/>
          <w:sz w:val="28"/>
          <w:szCs w:val="28"/>
        </w:rPr>
        <w:t xml:space="preserve"> </w:t>
      </w:r>
      <w:r w:rsidR="00B87A20" w:rsidRPr="00266693">
        <w:rPr>
          <w:rFonts w:ascii="Bookman Old Style" w:hAnsi="Bookman Old Style"/>
          <w:sz w:val="28"/>
          <w:szCs w:val="28"/>
        </w:rPr>
        <w:t xml:space="preserve">la </w:t>
      </w:r>
      <w:r w:rsidR="008E5835" w:rsidRPr="00266693">
        <w:rPr>
          <w:rFonts w:ascii="Bookman Old Style" w:hAnsi="Bookman Old Style"/>
          <w:sz w:val="28"/>
          <w:szCs w:val="28"/>
        </w:rPr>
        <w:t>impugnación</w:t>
      </w:r>
      <w:r w:rsidR="00B87A20" w:rsidRPr="00266693">
        <w:rPr>
          <w:rFonts w:ascii="Bookman Old Style" w:hAnsi="Bookman Old Style"/>
          <w:sz w:val="28"/>
          <w:szCs w:val="28"/>
        </w:rPr>
        <w:t xml:space="preserve"> interpuesta</w:t>
      </w:r>
      <w:r w:rsidR="003228FD">
        <w:rPr>
          <w:rFonts w:ascii="Bookman Old Style" w:hAnsi="Bookman Old Style"/>
          <w:sz w:val="28"/>
          <w:szCs w:val="28"/>
        </w:rPr>
        <w:t xml:space="preserve"> </w:t>
      </w:r>
      <w:r w:rsidR="00A52686">
        <w:rPr>
          <w:rFonts w:ascii="Bookman Old Style" w:hAnsi="Bookman Old Style"/>
          <w:sz w:val="28"/>
          <w:szCs w:val="28"/>
        </w:rPr>
        <w:t>por</w:t>
      </w:r>
      <w:r w:rsidR="00457212">
        <w:rPr>
          <w:rFonts w:ascii="Bookman Old Style" w:hAnsi="Bookman Old Style"/>
          <w:sz w:val="28"/>
          <w:szCs w:val="28"/>
        </w:rPr>
        <w:t xml:space="preserve"> </w:t>
      </w:r>
      <w:r w:rsidR="00634F56">
        <w:rPr>
          <w:rFonts w:ascii="Bookman Old Style" w:hAnsi="Bookman Old Style"/>
          <w:sz w:val="28"/>
          <w:szCs w:val="28"/>
        </w:rPr>
        <w:t xml:space="preserve">el apoderado de </w:t>
      </w:r>
      <w:r w:rsidR="00D3489B" w:rsidRPr="00D3489B">
        <w:rPr>
          <w:rFonts w:ascii="Bookman Old Style" w:hAnsi="Bookman Old Style"/>
          <w:b/>
          <w:sz w:val="28"/>
          <w:szCs w:val="28"/>
        </w:rPr>
        <w:t>Fernán Ortega Baquero</w:t>
      </w:r>
      <w:r w:rsidR="00FB4A89" w:rsidRPr="00266693">
        <w:rPr>
          <w:rFonts w:ascii="Bookman Old Style" w:hAnsi="Bookman Old Style"/>
          <w:sz w:val="28"/>
          <w:szCs w:val="28"/>
          <w:lang w:val="es-ES"/>
        </w:rPr>
        <w:t xml:space="preserve">, </w:t>
      </w:r>
      <w:r w:rsidR="008E5835" w:rsidRPr="00266693">
        <w:rPr>
          <w:rFonts w:ascii="Bookman Old Style" w:hAnsi="Bookman Old Style"/>
          <w:sz w:val="28"/>
          <w:szCs w:val="28"/>
          <w:lang w:val="es-ES"/>
        </w:rPr>
        <w:t>en relación con el fallo proferido</w:t>
      </w:r>
      <w:r w:rsidR="00C91C53">
        <w:rPr>
          <w:rFonts w:ascii="Bookman Old Style" w:hAnsi="Bookman Old Style"/>
          <w:sz w:val="28"/>
          <w:szCs w:val="28"/>
          <w:lang w:val="es-ES"/>
        </w:rPr>
        <w:t xml:space="preserve"> el</w:t>
      </w:r>
      <w:r w:rsidR="008E5835" w:rsidRPr="00266693">
        <w:rPr>
          <w:rFonts w:ascii="Bookman Old Style" w:hAnsi="Bookman Old Style"/>
          <w:sz w:val="28"/>
          <w:szCs w:val="28"/>
          <w:lang w:val="es-ES"/>
        </w:rPr>
        <w:t xml:space="preserve"> </w:t>
      </w:r>
      <w:r w:rsidR="00D3489B">
        <w:rPr>
          <w:rFonts w:ascii="Bookman Old Style" w:hAnsi="Bookman Old Style"/>
          <w:sz w:val="28"/>
          <w:szCs w:val="28"/>
          <w:lang w:val="es-ES"/>
        </w:rPr>
        <w:t>24</w:t>
      </w:r>
      <w:r w:rsidR="008E5835" w:rsidRPr="00266693">
        <w:rPr>
          <w:rFonts w:ascii="Bookman Old Style" w:hAnsi="Bookman Old Style"/>
          <w:sz w:val="28"/>
          <w:szCs w:val="28"/>
          <w:lang w:val="es-ES"/>
        </w:rPr>
        <w:t xml:space="preserve"> de </w:t>
      </w:r>
      <w:r w:rsidR="00D3489B">
        <w:rPr>
          <w:rFonts w:ascii="Bookman Old Style" w:hAnsi="Bookman Old Style"/>
          <w:sz w:val="28"/>
          <w:szCs w:val="28"/>
          <w:lang w:val="es-ES"/>
        </w:rPr>
        <w:t>junio</w:t>
      </w:r>
      <w:r w:rsidR="00A26D29" w:rsidRPr="00266693">
        <w:rPr>
          <w:rFonts w:ascii="Bookman Old Style" w:hAnsi="Bookman Old Style"/>
          <w:sz w:val="28"/>
          <w:szCs w:val="28"/>
          <w:lang w:val="es-ES"/>
        </w:rPr>
        <w:t xml:space="preserve"> </w:t>
      </w:r>
      <w:r w:rsidR="00CA4825">
        <w:rPr>
          <w:rFonts w:ascii="Bookman Old Style" w:hAnsi="Bookman Old Style"/>
          <w:sz w:val="28"/>
          <w:szCs w:val="28"/>
          <w:lang w:val="es-ES"/>
        </w:rPr>
        <w:t>de 20</w:t>
      </w:r>
      <w:r w:rsidR="00C91C53">
        <w:rPr>
          <w:rFonts w:ascii="Bookman Old Style" w:hAnsi="Bookman Old Style"/>
          <w:sz w:val="28"/>
          <w:szCs w:val="28"/>
          <w:lang w:val="es-ES"/>
        </w:rPr>
        <w:t>21</w:t>
      </w:r>
      <w:r w:rsidR="00CA4825">
        <w:rPr>
          <w:rFonts w:ascii="Bookman Old Style" w:hAnsi="Bookman Old Style"/>
          <w:sz w:val="28"/>
          <w:szCs w:val="28"/>
          <w:lang w:val="es-ES"/>
        </w:rPr>
        <w:t xml:space="preserve"> </w:t>
      </w:r>
      <w:r w:rsidR="008E5835" w:rsidRPr="00266693">
        <w:rPr>
          <w:rFonts w:ascii="Bookman Old Style" w:hAnsi="Bookman Old Style"/>
          <w:sz w:val="28"/>
          <w:szCs w:val="28"/>
          <w:lang w:val="es-ES"/>
        </w:rPr>
        <w:t xml:space="preserve">por la </w:t>
      </w:r>
      <w:r w:rsidR="00DD3CB0" w:rsidRPr="00B408C5">
        <w:rPr>
          <w:rFonts w:ascii="Bookman Old Style" w:hAnsi="Bookman Old Style"/>
          <w:sz w:val="28"/>
          <w:szCs w:val="28"/>
          <w:lang w:val="es-ES_tradnl"/>
        </w:rPr>
        <w:t xml:space="preserve">Sala </w:t>
      </w:r>
      <w:r w:rsidR="00136FEE">
        <w:rPr>
          <w:rFonts w:ascii="Bookman Old Style" w:hAnsi="Bookman Old Style"/>
          <w:sz w:val="28"/>
          <w:szCs w:val="28"/>
          <w:lang w:val="es-ES_tradnl"/>
        </w:rPr>
        <w:t>Penal</w:t>
      </w:r>
      <w:r w:rsidR="00DD3CB0" w:rsidRPr="00B408C5">
        <w:rPr>
          <w:rFonts w:ascii="Bookman Old Style" w:hAnsi="Bookman Old Style"/>
          <w:sz w:val="28"/>
          <w:szCs w:val="28"/>
          <w:lang w:val="es-ES_tradnl"/>
        </w:rPr>
        <w:t xml:space="preserve"> del Tribunal Superior de </w:t>
      </w:r>
      <w:r w:rsidR="00D3489B">
        <w:rPr>
          <w:rFonts w:ascii="Bookman Old Style" w:hAnsi="Bookman Old Style"/>
          <w:sz w:val="28"/>
          <w:szCs w:val="28"/>
          <w:lang w:val="es-ES_tradnl"/>
        </w:rPr>
        <w:t>Valledupar</w:t>
      </w:r>
      <w:r w:rsidR="008E5835" w:rsidRPr="00266693">
        <w:rPr>
          <w:rFonts w:ascii="Bookman Old Style" w:hAnsi="Bookman Old Style"/>
          <w:sz w:val="28"/>
          <w:szCs w:val="28"/>
          <w:lang w:val="es-ES"/>
        </w:rPr>
        <w:t>,</w:t>
      </w:r>
      <w:r w:rsidR="008E5835" w:rsidRPr="00266693">
        <w:rPr>
          <w:rFonts w:ascii="Bookman Old Style" w:hAnsi="Bookman Old Style"/>
          <w:sz w:val="28"/>
          <w:szCs w:val="28"/>
          <w:lang w:val="es-ES_tradnl"/>
        </w:rPr>
        <w:t xml:space="preserve"> que </w:t>
      </w:r>
      <w:r w:rsidR="00D3489B">
        <w:rPr>
          <w:rFonts w:ascii="Bookman Old Style" w:hAnsi="Bookman Old Style"/>
          <w:sz w:val="28"/>
          <w:szCs w:val="28"/>
          <w:lang w:val="es-ES_tradnl"/>
        </w:rPr>
        <w:t>denegó por improcedente</w:t>
      </w:r>
      <w:r w:rsidR="00FA5944">
        <w:rPr>
          <w:rFonts w:ascii="Bookman Old Style" w:hAnsi="Bookman Old Style"/>
          <w:sz w:val="28"/>
          <w:szCs w:val="28"/>
          <w:lang w:val="es-ES_tradnl"/>
        </w:rPr>
        <w:t xml:space="preserve"> </w:t>
      </w:r>
      <w:r w:rsidR="00EC69B4" w:rsidRPr="00266693">
        <w:rPr>
          <w:rFonts w:ascii="Bookman Old Style" w:hAnsi="Bookman Old Style"/>
          <w:sz w:val="28"/>
          <w:szCs w:val="28"/>
          <w:lang w:val="es-ES_tradnl"/>
        </w:rPr>
        <w:t>el amparo de</w:t>
      </w:r>
      <w:r w:rsidR="006E167F" w:rsidRPr="00266693">
        <w:rPr>
          <w:rFonts w:ascii="Bookman Old Style" w:hAnsi="Bookman Old Style"/>
          <w:sz w:val="28"/>
          <w:szCs w:val="28"/>
          <w:lang w:val="es-ES_tradnl"/>
        </w:rPr>
        <w:t xml:space="preserve"> </w:t>
      </w:r>
      <w:r w:rsidR="00D3489B">
        <w:rPr>
          <w:rFonts w:ascii="Bookman Old Style" w:hAnsi="Bookman Old Style"/>
          <w:sz w:val="28"/>
          <w:szCs w:val="28"/>
          <w:lang w:val="es-ES_tradnl"/>
        </w:rPr>
        <w:t>los</w:t>
      </w:r>
      <w:r w:rsidR="00EC69B4" w:rsidRPr="00266693">
        <w:rPr>
          <w:rFonts w:ascii="Bookman Old Style" w:hAnsi="Bookman Old Style"/>
          <w:sz w:val="28"/>
          <w:szCs w:val="28"/>
          <w:lang w:val="es-ES_tradnl"/>
        </w:rPr>
        <w:t xml:space="preserve"> derecho</w:t>
      </w:r>
      <w:r w:rsidR="00D3489B">
        <w:rPr>
          <w:rFonts w:ascii="Bookman Old Style" w:hAnsi="Bookman Old Style"/>
          <w:sz w:val="28"/>
          <w:szCs w:val="28"/>
          <w:lang w:val="es-ES_tradnl"/>
        </w:rPr>
        <w:t>s</w:t>
      </w:r>
      <w:r w:rsidR="00EC69B4" w:rsidRPr="00266693">
        <w:rPr>
          <w:rFonts w:ascii="Bookman Old Style" w:hAnsi="Bookman Old Style"/>
          <w:sz w:val="28"/>
          <w:szCs w:val="28"/>
          <w:lang w:val="es-ES_tradnl"/>
        </w:rPr>
        <w:t xml:space="preserve"> fundamental</w:t>
      </w:r>
      <w:r w:rsidR="00D3489B">
        <w:rPr>
          <w:rFonts w:ascii="Bookman Old Style" w:hAnsi="Bookman Old Style"/>
          <w:sz w:val="28"/>
          <w:szCs w:val="28"/>
          <w:lang w:val="es-ES_tradnl"/>
        </w:rPr>
        <w:t>es</w:t>
      </w:r>
      <w:r w:rsidR="006E167F" w:rsidRPr="00266693">
        <w:rPr>
          <w:rFonts w:ascii="Bookman Old Style" w:hAnsi="Bookman Old Style"/>
          <w:sz w:val="28"/>
          <w:szCs w:val="28"/>
          <w:lang w:val="es-ES_tradnl"/>
        </w:rPr>
        <w:t xml:space="preserve"> </w:t>
      </w:r>
      <w:r w:rsidR="008043B4">
        <w:rPr>
          <w:rFonts w:ascii="Bookman Old Style" w:hAnsi="Bookman Old Style"/>
          <w:sz w:val="28"/>
          <w:szCs w:val="28"/>
          <w:lang w:val="es-ES_tradnl"/>
        </w:rPr>
        <w:t>al debido proceso</w:t>
      </w:r>
      <w:r w:rsidR="00D3489B">
        <w:rPr>
          <w:rFonts w:ascii="Bookman Old Style" w:hAnsi="Bookman Old Style"/>
          <w:sz w:val="28"/>
          <w:szCs w:val="28"/>
          <w:lang w:val="es-ES_tradnl"/>
        </w:rPr>
        <w:t xml:space="preserve"> y acceso a la administración de justicia</w:t>
      </w:r>
      <w:r w:rsidR="009A078C">
        <w:rPr>
          <w:rFonts w:ascii="Bookman Old Style" w:hAnsi="Bookman Old Style"/>
          <w:sz w:val="28"/>
          <w:szCs w:val="28"/>
          <w:lang w:val="es-ES_tradnl"/>
        </w:rPr>
        <w:t>,</w:t>
      </w:r>
      <w:r w:rsidR="00D94408">
        <w:rPr>
          <w:rFonts w:ascii="Bookman Old Style" w:hAnsi="Bookman Old Style"/>
          <w:sz w:val="28"/>
          <w:szCs w:val="28"/>
          <w:lang w:val="es-ES_tradnl"/>
        </w:rPr>
        <w:t xml:space="preserve"> </w:t>
      </w:r>
      <w:r w:rsidR="00EC69B4" w:rsidRPr="00266693">
        <w:rPr>
          <w:rFonts w:ascii="Bookman Old Style" w:hAnsi="Bookman Old Style"/>
          <w:sz w:val="28"/>
          <w:szCs w:val="28"/>
          <w:lang w:val="es-ES_tradnl"/>
        </w:rPr>
        <w:t>presuntamente vulnerado</w:t>
      </w:r>
      <w:r w:rsidR="00D3489B">
        <w:rPr>
          <w:rFonts w:ascii="Bookman Old Style" w:hAnsi="Bookman Old Style"/>
          <w:sz w:val="28"/>
          <w:szCs w:val="28"/>
          <w:lang w:val="es-ES_tradnl"/>
        </w:rPr>
        <w:t>s</w:t>
      </w:r>
      <w:r w:rsidR="00CA5D33">
        <w:rPr>
          <w:rFonts w:ascii="Bookman Old Style" w:hAnsi="Bookman Old Style"/>
          <w:sz w:val="28"/>
          <w:szCs w:val="28"/>
          <w:lang w:val="es-ES_tradnl"/>
        </w:rPr>
        <w:t xml:space="preserve"> </w:t>
      </w:r>
      <w:r w:rsidR="00EC69B4" w:rsidRPr="00266693">
        <w:rPr>
          <w:rFonts w:ascii="Bookman Old Style" w:hAnsi="Bookman Old Style"/>
          <w:sz w:val="28"/>
          <w:szCs w:val="28"/>
          <w:lang w:val="es-ES_tradnl"/>
        </w:rPr>
        <w:t xml:space="preserve">por </w:t>
      </w:r>
      <w:r w:rsidR="00D3489B">
        <w:rPr>
          <w:rFonts w:ascii="Bookman Old Style" w:hAnsi="Bookman Old Style"/>
          <w:sz w:val="28"/>
          <w:szCs w:val="28"/>
          <w:lang w:val="es-ES_tradnl"/>
        </w:rPr>
        <w:t>el J</w:t>
      </w:r>
      <w:r w:rsidR="00D3489B" w:rsidRPr="00D3489B">
        <w:rPr>
          <w:rFonts w:ascii="Bookman Old Style" w:hAnsi="Bookman Old Style"/>
          <w:sz w:val="28"/>
          <w:szCs w:val="28"/>
          <w:lang w:val="es-ES_tradnl"/>
        </w:rPr>
        <w:t xml:space="preserve">uzgado Segundo Penal del Circuito con Funciones de Conocimiento de Valledupar y la Fiscalía Dieciocho Seccional </w:t>
      </w:r>
      <w:r w:rsidR="00D3489B">
        <w:rPr>
          <w:rFonts w:ascii="Bookman Old Style" w:hAnsi="Bookman Old Style"/>
          <w:sz w:val="28"/>
          <w:szCs w:val="28"/>
          <w:lang w:val="es-ES_tradnl"/>
        </w:rPr>
        <w:t>de esa ciudad.</w:t>
      </w:r>
    </w:p>
    <w:p w14:paraId="26F9DFDA" w14:textId="5B0D7035" w:rsidR="00D3489B" w:rsidRDefault="00D3489B" w:rsidP="00D3489B">
      <w:pPr>
        <w:spacing w:line="360" w:lineRule="auto"/>
        <w:ind w:right="6" w:firstLine="720"/>
        <w:jc w:val="both"/>
        <w:rPr>
          <w:rFonts w:ascii="Bookman Old Style" w:hAnsi="Bookman Old Style"/>
          <w:sz w:val="28"/>
          <w:szCs w:val="28"/>
          <w:lang w:val="es-ES_tradnl"/>
        </w:rPr>
      </w:pPr>
    </w:p>
    <w:p w14:paraId="2D967C12" w14:textId="08AFE624" w:rsidR="00D3489B" w:rsidRDefault="00D3489B" w:rsidP="00D3489B">
      <w:pPr>
        <w:spacing w:line="360" w:lineRule="auto"/>
        <w:ind w:right="6" w:firstLine="720"/>
        <w:jc w:val="both"/>
        <w:rPr>
          <w:rFonts w:ascii="Bookman Old Style" w:hAnsi="Bookman Old Style"/>
          <w:sz w:val="28"/>
          <w:szCs w:val="28"/>
          <w:lang w:val="es-ES_tradnl"/>
        </w:rPr>
      </w:pPr>
      <w:r>
        <w:rPr>
          <w:rFonts w:ascii="Bookman Old Style" w:hAnsi="Bookman Old Style"/>
          <w:sz w:val="28"/>
          <w:szCs w:val="28"/>
          <w:lang w:val="es-ES_tradnl"/>
        </w:rPr>
        <w:lastRenderedPageBreak/>
        <w:t xml:space="preserve">Al trámite se vinculó </w:t>
      </w:r>
      <w:r w:rsidRPr="00D3489B">
        <w:rPr>
          <w:rFonts w:ascii="Bookman Old Style" w:hAnsi="Bookman Old Style"/>
          <w:sz w:val="28"/>
          <w:szCs w:val="28"/>
          <w:lang w:val="es-ES_tradnl"/>
        </w:rPr>
        <w:t>al Centro de Servicios Administrativos de los Juzgados de Ejecución de Penas y Medidas de Seguridad de Valledupar y su Juez Coordinador, a la Procuraduría Delegada ante los Juzgados de Ejecución de Penas y Medidas de Seguridad, a los Juzgados de Ejecución de Penas y Medidas de Seguridad</w:t>
      </w:r>
      <w:r>
        <w:rPr>
          <w:rFonts w:ascii="Bookman Old Style" w:hAnsi="Bookman Old Style"/>
          <w:sz w:val="28"/>
          <w:szCs w:val="28"/>
          <w:lang w:val="es-ES_tradnl"/>
        </w:rPr>
        <w:t xml:space="preserve">, </w:t>
      </w:r>
      <w:r w:rsidRPr="00D3489B">
        <w:rPr>
          <w:rFonts w:ascii="Bookman Old Style" w:hAnsi="Bookman Old Style"/>
          <w:sz w:val="28"/>
          <w:szCs w:val="28"/>
          <w:lang w:val="es-ES_tradnl"/>
        </w:rPr>
        <w:t>al Centro</w:t>
      </w:r>
      <w:r>
        <w:rPr>
          <w:rFonts w:ascii="Bookman Old Style" w:hAnsi="Bookman Old Style"/>
          <w:sz w:val="28"/>
          <w:szCs w:val="28"/>
          <w:lang w:val="es-ES_tradnl"/>
        </w:rPr>
        <w:t xml:space="preserve"> </w:t>
      </w:r>
      <w:r w:rsidRPr="00D3489B">
        <w:rPr>
          <w:rFonts w:ascii="Bookman Old Style" w:hAnsi="Bookman Old Style"/>
          <w:sz w:val="28"/>
          <w:szCs w:val="28"/>
          <w:lang w:val="es-ES_tradnl"/>
        </w:rPr>
        <w:t xml:space="preserve">de Servidos Judiciales de los Juzgados Penales y su Juez Coordinador, al Procurador Judicial </w:t>
      </w:r>
      <w:r>
        <w:rPr>
          <w:rFonts w:ascii="Bookman Old Style" w:hAnsi="Bookman Old Style"/>
          <w:sz w:val="28"/>
          <w:szCs w:val="28"/>
          <w:lang w:val="es-ES_tradnl"/>
        </w:rPr>
        <w:t>Ciento Setenta y Siete; todos de la misma urbe y</w:t>
      </w:r>
      <w:r w:rsidRPr="00D3489B">
        <w:rPr>
          <w:rFonts w:ascii="Bookman Old Style" w:hAnsi="Bookman Old Style"/>
          <w:sz w:val="28"/>
          <w:szCs w:val="28"/>
          <w:lang w:val="es-ES_tradnl"/>
        </w:rPr>
        <w:t xml:space="preserve"> al defensor público Jesús María Monroy</w:t>
      </w:r>
      <w:r>
        <w:rPr>
          <w:rFonts w:ascii="Bookman Old Style" w:hAnsi="Bookman Old Style"/>
          <w:sz w:val="28"/>
          <w:szCs w:val="28"/>
          <w:lang w:val="es-ES_tradnl"/>
        </w:rPr>
        <w:t>.</w:t>
      </w:r>
    </w:p>
    <w:p w14:paraId="566C9C6E" w14:textId="1FBA15E2" w:rsidR="00D3489B" w:rsidRDefault="00D3489B" w:rsidP="00D3489B">
      <w:pPr>
        <w:spacing w:line="360" w:lineRule="auto"/>
        <w:ind w:right="6" w:firstLine="720"/>
        <w:jc w:val="both"/>
        <w:rPr>
          <w:rFonts w:ascii="Bookman Old Style" w:hAnsi="Bookman Old Style"/>
          <w:sz w:val="28"/>
          <w:szCs w:val="28"/>
          <w:lang w:val="es-ES_tradnl"/>
        </w:rPr>
      </w:pPr>
    </w:p>
    <w:p w14:paraId="40E6447C" w14:textId="77777777" w:rsidR="00D3489B" w:rsidRDefault="00D3489B" w:rsidP="00D3489B">
      <w:pPr>
        <w:spacing w:line="360" w:lineRule="auto"/>
        <w:ind w:right="6" w:firstLine="720"/>
        <w:jc w:val="both"/>
        <w:rPr>
          <w:rFonts w:ascii="Bookman Old Style" w:hAnsi="Bookman Old Style"/>
          <w:sz w:val="28"/>
          <w:szCs w:val="28"/>
          <w:lang w:val="es-ES_tradnl"/>
        </w:rPr>
      </w:pPr>
    </w:p>
    <w:p w14:paraId="55CA9EC7" w14:textId="77777777" w:rsidR="00106E10" w:rsidRDefault="00B87A20" w:rsidP="00106E10">
      <w:pPr>
        <w:spacing w:line="360" w:lineRule="auto"/>
        <w:jc w:val="center"/>
        <w:rPr>
          <w:rFonts w:ascii="Bookman Old Style" w:hAnsi="Bookman Old Style" w:cs="Arial"/>
          <w:b/>
          <w:sz w:val="28"/>
          <w:szCs w:val="28"/>
        </w:rPr>
      </w:pPr>
      <w:r w:rsidRPr="00162B30">
        <w:rPr>
          <w:rFonts w:ascii="Bookman Old Style" w:hAnsi="Bookman Old Style" w:cs="Arial"/>
          <w:b/>
          <w:sz w:val="28"/>
          <w:szCs w:val="28"/>
        </w:rPr>
        <w:t>ANTECEDENTES</w:t>
      </w:r>
    </w:p>
    <w:p w14:paraId="593A0C83" w14:textId="77777777" w:rsidR="003A2F56" w:rsidRDefault="003A2F56" w:rsidP="00106E10">
      <w:pPr>
        <w:spacing w:line="360" w:lineRule="auto"/>
        <w:jc w:val="center"/>
        <w:rPr>
          <w:rFonts w:ascii="Bookman Old Style" w:hAnsi="Bookman Old Style" w:cs="Arial"/>
          <w:b/>
          <w:sz w:val="28"/>
          <w:szCs w:val="28"/>
        </w:rPr>
      </w:pPr>
    </w:p>
    <w:p w14:paraId="268CDDC5" w14:textId="77777777" w:rsidR="00106E10" w:rsidRPr="00106E10" w:rsidRDefault="00106E10" w:rsidP="00C91C53">
      <w:pPr>
        <w:pStyle w:val="Prrafodelista"/>
        <w:spacing w:line="360" w:lineRule="auto"/>
        <w:jc w:val="center"/>
        <w:rPr>
          <w:rFonts w:ascii="Bookman Old Style" w:hAnsi="Bookman Old Style" w:cs="Arial"/>
          <w:b/>
          <w:bCs/>
          <w:sz w:val="28"/>
          <w:szCs w:val="28"/>
        </w:rPr>
      </w:pPr>
      <w:r w:rsidRPr="00106E10">
        <w:rPr>
          <w:rFonts w:ascii="Bookman Old Style" w:hAnsi="Bookman Old Style" w:cs="Arial"/>
          <w:b/>
          <w:bCs/>
          <w:sz w:val="28"/>
          <w:szCs w:val="28"/>
        </w:rPr>
        <w:t>HECHOS Y FUNDAMENTOS DE LA ACCIÓN</w:t>
      </w:r>
    </w:p>
    <w:p w14:paraId="0524A710" w14:textId="77777777" w:rsidR="00B87A20" w:rsidRPr="00266693" w:rsidRDefault="00B87A20" w:rsidP="00B87A20">
      <w:pPr>
        <w:spacing w:line="360" w:lineRule="auto"/>
        <w:jc w:val="both"/>
        <w:rPr>
          <w:rFonts w:ascii="Bookman Old Style" w:hAnsi="Bookman Old Style" w:cs="Arial"/>
          <w:b/>
          <w:bCs/>
          <w:sz w:val="28"/>
          <w:szCs w:val="28"/>
          <w:u w:val="single"/>
          <w:lang w:val="es-ES_tradnl"/>
        </w:rPr>
      </w:pPr>
    </w:p>
    <w:p w14:paraId="09087ADB" w14:textId="7CD03058" w:rsidR="00513E00" w:rsidRDefault="00513E00" w:rsidP="00513E00">
      <w:pPr>
        <w:spacing w:line="360" w:lineRule="auto"/>
        <w:ind w:firstLine="709"/>
        <w:jc w:val="both"/>
        <w:rPr>
          <w:rFonts w:ascii="Bookman Old Style" w:hAnsi="Bookman Old Style" w:cs="Arial"/>
          <w:sz w:val="28"/>
          <w:szCs w:val="28"/>
        </w:rPr>
      </w:pPr>
      <w:r w:rsidRPr="00E07165">
        <w:rPr>
          <w:rFonts w:ascii="Bookman Old Style" w:hAnsi="Bookman Old Style" w:cs="Arial"/>
          <w:sz w:val="28"/>
          <w:szCs w:val="28"/>
        </w:rPr>
        <w:t>Los sucesos que motivaron la soli</w:t>
      </w:r>
      <w:r w:rsidR="00AF6621">
        <w:rPr>
          <w:rFonts w:ascii="Bookman Old Style" w:hAnsi="Bookman Old Style" w:cs="Arial"/>
          <w:sz w:val="28"/>
          <w:szCs w:val="28"/>
        </w:rPr>
        <w:t xml:space="preserve">citud de amparo constitucional y </w:t>
      </w:r>
      <w:r w:rsidRPr="00E07165">
        <w:rPr>
          <w:rFonts w:ascii="Bookman Old Style" w:hAnsi="Bookman Old Style" w:cs="Arial"/>
          <w:sz w:val="28"/>
          <w:szCs w:val="28"/>
        </w:rPr>
        <w:t xml:space="preserve">las pretensiones </w:t>
      </w:r>
      <w:r w:rsidR="002A647B">
        <w:rPr>
          <w:rFonts w:ascii="Bookman Old Style" w:hAnsi="Bookman Old Style" w:cs="Arial"/>
          <w:sz w:val="28"/>
          <w:szCs w:val="28"/>
        </w:rPr>
        <w:t>del demandante</w:t>
      </w:r>
      <w:r w:rsidRPr="00E07165">
        <w:rPr>
          <w:rFonts w:ascii="Bookman Old Style" w:hAnsi="Bookman Old Style" w:cs="Arial"/>
          <w:sz w:val="28"/>
          <w:szCs w:val="28"/>
        </w:rPr>
        <w:t xml:space="preserve">, fueron reseñados por </w:t>
      </w:r>
      <w:r>
        <w:rPr>
          <w:rFonts w:ascii="Bookman Old Style" w:hAnsi="Bookman Old Style" w:cs="Arial"/>
          <w:sz w:val="28"/>
          <w:szCs w:val="28"/>
        </w:rPr>
        <w:t xml:space="preserve">la Sala de Decisión Penal del Tribunal Superior de </w:t>
      </w:r>
      <w:r w:rsidR="00D3489B">
        <w:rPr>
          <w:rFonts w:ascii="Bookman Old Style" w:hAnsi="Bookman Old Style" w:cs="Arial"/>
          <w:sz w:val="28"/>
          <w:szCs w:val="28"/>
        </w:rPr>
        <w:t>Valledupar</w:t>
      </w:r>
      <w:r>
        <w:rPr>
          <w:rFonts w:ascii="Bookman Old Style" w:hAnsi="Bookman Old Style" w:cs="Arial"/>
          <w:sz w:val="28"/>
          <w:szCs w:val="28"/>
        </w:rPr>
        <w:t>,</w:t>
      </w:r>
      <w:r w:rsidRPr="00E07165">
        <w:rPr>
          <w:rFonts w:ascii="Bookman Old Style" w:hAnsi="Bookman Old Style" w:cs="Arial"/>
          <w:sz w:val="28"/>
          <w:szCs w:val="28"/>
        </w:rPr>
        <w:t xml:space="preserve"> de la forma como sigue:</w:t>
      </w:r>
    </w:p>
    <w:p w14:paraId="255DE439" w14:textId="77777777" w:rsidR="00513E00" w:rsidRDefault="00513E00" w:rsidP="00513E00">
      <w:pPr>
        <w:spacing w:line="360" w:lineRule="auto"/>
        <w:ind w:firstLine="709"/>
        <w:jc w:val="both"/>
        <w:rPr>
          <w:rFonts w:ascii="Bookman Old Style" w:hAnsi="Bookman Old Style" w:cs="Arial"/>
          <w:sz w:val="28"/>
          <w:szCs w:val="28"/>
        </w:rPr>
      </w:pPr>
    </w:p>
    <w:p w14:paraId="74088A47" w14:textId="663B58CB" w:rsidR="00D3489B" w:rsidRDefault="00D3489B" w:rsidP="00263A5E">
      <w:pPr>
        <w:ind w:left="708" w:right="51"/>
        <w:jc w:val="both"/>
        <w:rPr>
          <w:rFonts w:ascii="Bookman Old Style" w:hAnsi="Bookman Old Style" w:cs="Arial"/>
          <w:i/>
          <w:sz w:val="24"/>
          <w:szCs w:val="28"/>
        </w:rPr>
      </w:pPr>
      <w:r w:rsidRPr="00D3489B">
        <w:rPr>
          <w:rFonts w:ascii="Bookman Old Style" w:hAnsi="Bookman Old Style" w:cs="Arial"/>
          <w:i/>
          <w:sz w:val="24"/>
          <w:szCs w:val="28"/>
        </w:rPr>
        <w:t>Manifiesta el apoderado judicial de la parte accionante que el 25 de noviembre de 2016 el señor FERNAN ORTEGA BAQUERO fue capturado por la presunta comisión del delito de receptación, en torno al cual se celebraron en su contra, las audiencias preliminares de Legalización de Captura y Formulación de Imputación, y finalmente, advierte que, se retiró la solicitud de medida de aseguramiento por parte de la Fiscalía.</w:t>
      </w:r>
    </w:p>
    <w:p w14:paraId="0DCA4BFA" w14:textId="77777777" w:rsidR="00D3489B" w:rsidRPr="00D3489B" w:rsidRDefault="00D3489B" w:rsidP="00263A5E">
      <w:pPr>
        <w:ind w:left="708" w:right="51"/>
        <w:jc w:val="both"/>
        <w:rPr>
          <w:rFonts w:ascii="Bookman Old Style" w:hAnsi="Bookman Old Style" w:cs="Arial"/>
          <w:i/>
          <w:sz w:val="24"/>
          <w:szCs w:val="28"/>
        </w:rPr>
      </w:pPr>
    </w:p>
    <w:p w14:paraId="06ADB9DC" w14:textId="24D15C56" w:rsidR="00D3489B" w:rsidRDefault="00D3489B" w:rsidP="00263A5E">
      <w:pPr>
        <w:ind w:left="708" w:right="51"/>
        <w:jc w:val="both"/>
        <w:rPr>
          <w:rFonts w:ascii="Bookman Old Style" w:hAnsi="Bookman Old Style" w:cs="Arial"/>
          <w:i/>
          <w:sz w:val="24"/>
          <w:szCs w:val="28"/>
        </w:rPr>
      </w:pPr>
      <w:r w:rsidRPr="00D3489B">
        <w:rPr>
          <w:rFonts w:ascii="Bookman Old Style" w:hAnsi="Bookman Old Style" w:cs="Arial"/>
          <w:i/>
          <w:sz w:val="24"/>
          <w:szCs w:val="28"/>
        </w:rPr>
        <w:t xml:space="preserve">Sostiene que, el día 3 de febrero de 2017 la Fiscalía Dieciocho (18) Seccional de Valledupar a cargo de la Dra. LUISA LEDIT ARIAS MEDINA, radicó escrito de acusación #20001-60-01074-2016-01354, en contra del accionante por el delito de Receptación Agravada y el 9 de febrero de 2017 el Juzgado Segundo Penal del </w:t>
      </w:r>
      <w:r w:rsidRPr="00D3489B">
        <w:rPr>
          <w:rFonts w:ascii="Bookman Old Style" w:hAnsi="Bookman Old Style" w:cs="Arial"/>
          <w:i/>
          <w:sz w:val="24"/>
          <w:szCs w:val="28"/>
        </w:rPr>
        <w:lastRenderedPageBreak/>
        <w:t>Circuito con Funciones de Conocimiento de Valledupar avocó conocimiento y fijó fecha para la celebración de audiencia de Formulación de Acusación, misma que fracasó en diferentes oportunidades, pero con la particularidad que dicha audiencia si fue notificada al señor FERNAN ORTEGA BAQUERO en su lugar de residencia.</w:t>
      </w:r>
    </w:p>
    <w:p w14:paraId="0ED010A8" w14:textId="77777777" w:rsidR="00D3489B" w:rsidRPr="00D3489B" w:rsidRDefault="00D3489B" w:rsidP="00263A5E">
      <w:pPr>
        <w:ind w:left="708" w:right="51"/>
        <w:jc w:val="both"/>
        <w:rPr>
          <w:rFonts w:ascii="Bookman Old Style" w:hAnsi="Bookman Old Style" w:cs="Arial"/>
          <w:i/>
          <w:sz w:val="24"/>
          <w:szCs w:val="28"/>
        </w:rPr>
      </w:pPr>
    </w:p>
    <w:p w14:paraId="51BFEE55" w14:textId="5F1BC676" w:rsidR="00D3489B" w:rsidRDefault="00D3489B" w:rsidP="00263A5E">
      <w:pPr>
        <w:ind w:left="708" w:right="51"/>
        <w:jc w:val="both"/>
        <w:rPr>
          <w:rFonts w:ascii="Bookman Old Style" w:hAnsi="Bookman Old Style" w:cs="Arial"/>
          <w:i/>
          <w:sz w:val="24"/>
          <w:szCs w:val="28"/>
        </w:rPr>
      </w:pPr>
      <w:r w:rsidRPr="00D3489B">
        <w:rPr>
          <w:rFonts w:ascii="Bookman Old Style" w:hAnsi="Bookman Old Style" w:cs="Arial"/>
          <w:i/>
          <w:sz w:val="24"/>
          <w:szCs w:val="28"/>
        </w:rPr>
        <w:t>Ahora bien, el actor señala que, a folios 19 al 23 del expediente, reposa un acta de preacuerdo suscrito entre el tutelante y la Fiscalía Dieciocho (18) Seccional de Valledupar, en la cual el señor FERNAN ORTEGABAQUERO aceptó el punible de Receptación Agravada y se le degrada el grado de participación de autor a cómplice, con miras a obtener una rebaja de pena de 1/6 parte a la mitad, haciendo énfasis en que no tendría derecho a otra rebaja por dicho preacuerdo.</w:t>
      </w:r>
    </w:p>
    <w:p w14:paraId="47997701" w14:textId="77777777" w:rsidR="00D3489B" w:rsidRPr="00D3489B" w:rsidRDefault="00D3489B" w:rsidP="00263A5E">
      <w:pPr>
        <w:ind w:left="708" w:right="51"/>
        <w:jc w:val="both"/>
        <w:rPr>
          <w:rFonts w:ascii="Bookman Old Style" w:hAnsi="Bookman Old Style" w:cs="Arial"/>
          <w:i/>
          <w:sz w:val="24"/>
          <w:szCs w:val="28"/>
        </w:rPr>
      </w:pPr>
    </w:p>
    <w:p w14:paraId="4B2722AC" w14:textId="30011C3F" w:rsidR="00D3489B" w:rsidRDefault="00D3489B" w:rsidP="0046607C">
      <w:pPr>
        <w:ind w:left="708" w:right="51"/>
        <w:jc w:val="both"/>
        <w:rPr>
          <w:rFonts w:ascii="Bookman Old Style" w:hAnsi="Bookman Old Style" w:cs="Arial"/>
          <w:i/>
          <w:sz w:val="24"/>
          <w:szCs w:val="28"/>
        </w:rPr>
      </w:pPr>
      <w:r w:rsidRPr="00D3489B">
        <w:rPr>
          <w:rFonts w:ascii="Bookman Old Style" w:hAnsi="Bookman Old Style" w:cs="Arial"/>
          <w:i/>
          <w:sz w:val="24"/>
          <w:szCs w:val="28"/>
        </w:rPr>
        <w:t>Apunta que, al impartir aprobación al preacuerdo, el Juzgado Segundo Penal del Circuito con Funciones de Conocimiento de Valledupar profirió sentencia condenatoria por el delito de Receptación Agravada en calidad de cómplice, imponiendo una condena al accionante concerniente a la pena principal de 36 meses de prisión y multa de 3.5 salarios mínimos mensuales vigentes para el año 2016, e igualmente se le impuso como pena accesoria la inhabilidad para el ejercido de derechos y funciones públicas por el mismo término de la sanción principal; sumado a ello, le fue negado la suspensión condicional de la ejecución de la pena por no concurrir el factor objetivo, así como el mecanismo sustitutivo de la prisión domiciliaria</w:t>
      </w:r>
      <w:r w:rsidR="0046607C">
        <w:rPr>
          <w:rFonts w:ascii="Bookman Old Style" w:hAnsi="Bookman Old Style" w:cs="Arial"/>
          <w:i/>
          <w:sz w:val="24"/>
          <w:szCs w:val="28"/>
        </w:rPr>
        <w:t>.</w:t>
      </w:r>
    </w:p>
    <w:p w14:paraId="35A57381" w14:textId="77777777" w:rsidR="0046607C" w:rsidRPr="00D3489B" w:rsidRDefault="0046607C" w:rsidP="0046607C">
      <w:pPr>
        <w:ind w:left="708" w:right="51"/>
        <w:jc w:val="both"/>
        <w:rPr>
          <w:rFonts w:ascii="Bookman Old Style" w:hAnsi="Bookman Old Style" w:cs="Arial"/>
          <w:i/>
          <w:sz w:val="24"/>
          <w:szCs w:val="28"/>
        </w:rPr>
      </w:pPr>
    </w:p>
    <w:p w14:paraId="3769FAA0" w14:textId="014A35F3" w:rsidR="00D3489B" w:rsidRDefault="00D3489B" w:rsidP="00263A5E">
      <w:pPr>
        <w:ind w:left="708" w:right="51"/>
        <w:jc w:val="both"/>
        <w:rPr>
          <w:rFonts w:ascii="Bookman Old Style" w:hAnsi="Bookman Old Style" w:cs="Arial"/>
          <w:i/>
          <w:sz w:val="24"/>
          <w:szCs w:val="28"/>
        </w:rPr>
      </w:pPr>
      <w:r w:rsidRPr="00D3489B">
        <w:rPr>
          <w:rFonts w:ascii="Bookman Old Style" w:hAnsi="Bookman Old Style" w:cs="Arial"/>
          <w:i/>
          <w:sz w:val="24"/>
          <w:szCs w:val="28"/>
        </w:rPr>
        <w:t xml:space="preserve">Alega la parte demandante, que en la citada sentencia, el Juzgado Segundo Penal del Circuito con Funciones de Conocimiento de Valledupar cometió una imprecisión jurídica al tasar la pena, teniendo en cuenta la sanción prevista como "autor" del delito de Receptación Agravada, sin observar que en el texto del preacuerdo se degrado la participación a "cómplice", en tal sentido, arguye que, el Juez no respetó lo </w:t>
      </w:r>
      <w:proofErr w:type="spellStart"/>
      <w:r w:rsidRPr="00D3489B">
        <w:rPr>
          <w:rFonts w:ascii="Bookman Old Style" w:hAnsi="Bookman Old Style" w:cs="Arial"/>
          <w:i/>
          <w:sz w:val="24"/>
          <w:szCs w:val="28"/>
        </w:rPr>
        <w:t>preacordado</w:t>
      </w:r>
      <w:proofErr w:type="spellEnd"/>
      <w:r w:rsidRPr="00D3489B">
        <w:rPr>
          <w:rFonts w:ascii="Bookman Old Style" w:hAnsi="Bookman Old Style" w:cs="Arial"/>
          <w:i/>
          <w:sz w:val="24"/>
          <w:szCs w:val="28"/>
        </w:rPr>
        <w:t xml:space="preserve"> y aplicó de manera incorrecta la dosificación de la pena impuesta.</w:t>
      </w:r>
    </w:p>
    <w:p w14:paraId="170468F2" w14:textId="77777777" w:rsidR="00D3489B" w:rsidRPr="00D3489B" w:rsidRDefault="00D3489B" w:rsidP="00263A5E">
      <w:pPr>
        <w:ind w:left="708" w:right="51"/>
        <w:jc w:val="both"/>
        <w:rPr>
          <w:rFonts w:ascii="Bookman Old Style" w:hAnsi="Bookman Old Style" w:cs="Arial"/>
          <w:i/>
          <w:sz w:val="24"/>
          <w:szCs w:val="28"/>
        </w:rPr>
      </w:pPr>
    </w:p>
    <w:p w14:paraId="77C0934E" w14:textId="1F3AD233" w:rsidR="00D3489B" w:rsidRDefault="00D3489B" w:rsidP="00263A5E">
      <w:pPr>
        <w:ind w:left="708" w:right="51"/>
        <w:jc w:val="both"/>
        <w:rPr>
          <w:rFonts w:ascii="Bookman Old Style" w:hAnsi="Bookman Old Style" w:cs="Arial"/>
          <w:i/>
          <w:sz w:val="24"/>
          <w:szCs w:val="28"/>
        </w:rPr>
      </w:pPr>
      <w:r w:rsidRPr="00D3489B">
        <w:rPr>
          <w:rFonts w:ascii="Bookman Old Style" w:hAnsi="Bookman Old Style" w:cs="Arial"/>
          <w:i/>
          <w:sz w:val="24"/>
          <w:szCs w:val="28"/>
        </w:rPr>
        <w:t>El actor advierte que, en el presente caso se cumple con el requisito de inmediatez, dado que el condenado no fue notificado de la sentencia, y solo se enteró de esta, una vez es capturado en virtud de orden emitida por el juzgado accionado.</w:t>
      </w:r>
    </w:p>
    <w:p w14:paraId="2E9EBC0B" w14:textId="77777777" w:rsidR="00D3489B" w:rsidRPr="00D3489B" w:rsidRDefault="00D3489B" w:rsidP="00263A5E">
      <w:pPr>
        <w:ind w:left="708" w:right="51"/>
        <w:jc w:val="both"/>
        <w:rPr>
          <w:rFonts w:ascii="Bookman Old Style" w:hAnsi="Bookman Old Style" w:cs="Arial"/>
          <w:i/>
          <w:sz w:val="24"/>
          <w:szCs w:val="28"/>
        </w:rPr>
      </w:pPr>
    </w:p>
    <w:p w14:paraId="31E0069B" w14:textId="2DDAE326" w:rsidR="00D3489B" w:rsidRDefault="00D3489B" w:rsidP="00263A5E">
      <w:pPr>
        <w:ind w:left="708" w:right="51"/>
        <w:jc w:val="both"/>
        <w:rPr>
          <w:rFonts w:ascii="Bookman Old Style" w:hAnsi="Bookman Old Style" w:cs="Arial"/>
          <w:i/>
          <w:sz w:val="24"/>
          <w:szCs w:val="28"/>
        </w:rPr>
      </w:pPr>
      <w:r w:rsidRPr="00D3489B">
        <w:rPr>
          <w:rFonts w:ascii="Bookman Old Style" w:hAnsi="Bookman Old Style" w:cs="Arial"/>
          <w:i/>
          <w:sz w:val="24"/>
          <w:szCs w:val="28"/>
        </w:rPr>
        <w:t xml:space="preserve">Sumado a lo anterior, alega que, la citada providencia proferida por el Juzgado Segundo Penal del Circuito con </w:t>
      </w:r>
      <w:r w:rsidR="0046607C">
        <w:rPr>
          <w:rFonts w:ascii="Bookman Old Style" w:hAnsi="Bookman Old Style" w:cs="Arial"/>
          <w:i/>
          <w:sz w:val="24"/>
          <w:szCs w:val="28"/>
        </w:rPr>
        <w:t>Funciones</w:t>
      </w:r>
      <w:r w:rsidRPr="00D3489B">
        <w:rPr>
          <w:rFonts w:ascii="Bookman Old Style" w:hAnsi="Bookman Old Style" w:cs="Arial"/>
          <w:i/>
          <w:sz w:val="24"/>
          <w:szCs w:val="28"/>
        </w:rPr>
        <w:t xml:space="preserve"> de Conocimiento de Valledupar, incurre en un defecto material o sustantivo al desconocer el preacuerdo celebrado entre el procesado y la Fiscalía y al aplicar de manera incorrecta la dosificación de la pena; así mismo, señala que, se incurrió en un </w:t>
      </w:r>
      <w:r w:rsidRPr="00D3489B">
        <w:rPr>
          <w:rFonts w:ascii="Bookman Old Style" w:hAnsi="Bookman Old Style" w:cs="Arial"/>
          <w:i/>
          <w:sz w:val="24"/>
          <w:szCs w:val="28"/>
        </w:rPr>
        <w:lastRenderedPageBreak/>
        <w:t>defecto fáctico, dado que en el proceso no se encuentra demostrada la citación a la víctima (vía de hecho), teniendo en cuenta que dicho llamamiento es importante para el condenado, en el sentido de que la ley prevé descuentos en la pena por indemnización a las mismas.</w:t>
      </w:r>
    </w:p>
    <w:p w14:paraId="514E3B2C" w14:textId="77777777" w:rsidR="00D3489B" w:rsidRPr="00D3489B" w:rsidRDefault="00D3489B" w:rsidP="00263A5E">
      <w:pPr>
        <w:ind w:left="708" w:right="51"/>
        <w:jc w:val="both"/>
        <w:rPr>
          <w:rFonts w:ascii="Bookman Old Style" w:hAnsi="Bookman Old Style" w:cs="Arial"/>
          <w:i/>
          <w:sz w:val="24"/>
          <w:szCs w:val="28"/>
        </w:rPr>
      </w:pPr>
    </w:p>
    <w:p w14:paraId="7A6A381B" w14:textId="1AA0B519" w:rsidR="00D3489B" w:rsidRDefault="00D3489B" w:rsidP="00263A5E">
      <w:pPr>
        <w:ind w:left="708" w:right="51"/>
        <w:jc w:val="both"/>
        <w:rPr>
          <w:rFonts w:ascii="Bookman Old Style" w:hAnsi="Bookman Old Style" w:cs="Arial"/>
          <w:i/>
          <w:sz w:val="24"/>
          <w:szCs w:val="28"/>
        </w:rPr>
      </w:pPr>
      <w:r w:rsidRPr="00D3489B">
        <w:rPr>
          <w:rFonts w:ascii="Bookman Old Style" w:hAnsi="Bookman Old Style" w:cs="Arial"/>
          <w:i/>
          <w:sz w:val="24"/>
          <w:szCs w:val="28"/>
        </w:rPr>
        <w:tab/>
        <w:t>3.</w:t>
      </w:r>
      <w:r w:rsidRPr="00D3489B">
        <w:rPr>
          <w:rFonts w:ascii="Bookman Old Style" w:hAnsi="Bookman Old Style" w:cs="Arial"/>
          <w:i/>
          <w:sz w:val="24"/>
          <w:szCs w:val="28"/>
        </w:rPr>
        <w:tab/>
      </w:r>
      <w:r w:rsidRPr="00D3489B">
        <w:rPr>
          <w:rFonts w:ascii="Bookman Old Style" w:hAnsi="Bookman Old Style" w:cs="Arial"/>
          <w:i/>
          <w:sz w:val="24"/>
          <w:szCs w:val="28"/>
        </w:rPr>
        <w:tab/>
        <w:t>PRETENSIONES:</w:t>
      </w:r>
    </w:p>
    <w:p w14:paraId="225039AB" w14:textId="77777777" w:rsidR="00D3489B" w:rsidRPr="00D3489B" w:rsidRDefault="00D3489B" w:rsidP="00263A5E">
      <w:pPr>
        <w:ind w:left="708" w:right="51"/>
        <w:jc w:val="both"/>
        <w:rPr>
          <w:rFonts w:ascii="Bookman Old Style" w:hAnsi="Bookman Old Style" w:cs="Arial"/>
          <w:i/>
          <w:sz w:val="24"/>
          <w:szCs w:val="28"/>
        </w:rPr>
      </w:pPr>
    </w:p>
    <w:p w14:paraId="5E943D39" w14:textId="5AF9513D" w:rsidR="00C91C53" w:rsidRDefault="00D3489B" w:rsidP="00263A5E">
      <w:pPr>
        <w:ind w:left="708" w:right="51"/>
        <w:jc w:val="both"/>
        <w:rPr>
          <w:rFonts w:ascii="Bookman Old Style" w:hAnsi="Bookman Old Style" w:cs="Arial"/>
          <w:i/>
          <w:sz w:val="24"/>
          <w:szCs w:val="28"/>
        </w:rPr>
      </w:pPr>
      <w:r w:rsidRPr="00D3489B">
        <w:rPr>
          <w:rFonts w:ascii="Bookman Old Style" w:hAnsi="Bookman Old Style" w:cs="Arial"/>
          <w:i/>
          <w:sz w:val="24"/>
          <w:szCs w:val="28"/>
        </w:rPr>
        <w:t>Conforme a los hechos expuestos, la parte actora pretende con la presente acción constitucional, que se amparen los derechos fundamentales al debido proceso y al acceso a la administración de justicia del señor FERNAN ORTEGA BAQUERO, que estima vulnerados por el Juzgado Segundo Penal del Circuito con Función de Conocimiento de Valledupar, en consecuencia, se corrija la sentencia proferida el 26 de septiembre de 2019 por esa autoridad judicial y que se imparta cumplimiento al acuerdo celebrado entre la Fiscalía y el procesado, aprobado en su momento por el Juzgado accionado, por tanto, se degrade las circunstancia de punibilidad y se le dé aplicabilidad a la sanción penal correspondiente al grado de cómplice en la ejecución de la conducta de Receptación Agravada.</w:t>
      </w:r>
    </w:p>
    <w:p w14:paraId="29AE7E08" w14:textId="77777777" w:rsidR="00D3489B" w:rsidRDefault="00D3489B" w:rsidP="00D3489B">
      <w:pPr>
        <w:ind w:left="708" w:right="618"/>
        <w:jc w:val="both"/>
        <w:rPr>
          <w:rFonts w:ascii="Bookman Old Style" w:hAnsi="Bookman Old Style" w:cs="Arial"/>
          <w:i/>
          <w:sz w:val="24"/>
          <w:szCs w:val="28"/>
        </w:rPr>
      </w:pPr>
    </w:p>
    <w:p w14:paraId="5A114D25" w14:textId="77777777" w:rsidR="00C91C53" w:rsidRDefault="00C91C53" w:rsidP="00C91C53">
      <w:pPr>
        <w:ind w:right="618"/>
        <w:jc w:val="both"/>
        <w:rPr>
          <w:rFonts w:ascii="Bookman Old Style" w:hAnsi="Bookman Old Style"/>
          <w:i/>
          <w:sz w:val="24"/>
          <w:szCs w:val="24"/>
        </w:rPr>
      </w:pPr>
    </w:p>
    <w:p w14:paraId="67BAA304" w14:textId="77777777" w:rsidR="00E23D8A" w:rsidRDefault="00E23D8A" w:rsidP="00C91C53">
      <w:pPr>
        <w:pStyle w:val="Prrafodelista"/>
        <w:spacing w:after="200" w:line="360" w:lineRule="auto"/>
        <w:jc w:val="center"/>
        <w:rPr>
          <w:rFonts w:ascii="Bookman Old Style" w:eastAsia="Calibri" w:hAnsi="Bookman Old Style" w:cs="Arial"/>
          <w:b/>
          <w:bCs/>
          <w:sz w:val="28"/>
          <w:szCs w:val="28"/>
          <w:lang w:val="es-ES_tradnl"/>
        </w:rPr>
      </w:pPr>
      <w:r w:rsidRPr="00106E10">
        <w:rPr>
          <w:rFonts w:ascii="Bookman Old Style" w:eastAsia="Calibri" w:hAnsi="Bookman Old Style" w:cs="Arial"/>
          <w:b/>
          <w:bCs/>
          <w:sz w:val="28"/>
          <w:szCs w:val="28"/>
          <w:lang w:val="es-ES_tradnl"/>
        </w:rPr>
        <w:t>DEL FALLO RECURRIDO</w:t>
      </w:r>
    </w:p>
    <w:p w14:paraId="7E0CCD0E" w14:textId="77777777" w:rsidR="001E17F7" w:rsidRDefault="001E17F7" w:rsidP="002C66CE">
      <w:pPr>
        <w:tabs>
          <w:tab w:val="num" w:pos="1134"/>
        </w:tabs>
        <w:overflowPunct w:val="0"/>
        <w:autoSpaceDE w:val="0"/>
        <w:autoSpaceDN w:val="0"/>
        <w:adjustRightInd w:val="0"/>
        <w:jc w:val="both"/>
        <w:textAlignment w:val="baseline"/>
        <w:rPr>
          <w:rFonts w:ascii="Bookman Old Style" w:hAnsi="Bookman Old Style" w:cs="Arial"/>
          <w:sz w:val="28"/>
          <w:szCs w:val="28"/>
        </w:rPr>
      </w:pPr>
    </w:p>
    <w:p w14:paraId="6C5DA0C1" w14:textId="1D4ED203" w:rsidR="001C1E0F" w:rsidRDefault="00D77A42" w:rsidP="00D3489B">
      <w:pPr>
        <w:tabs>
          <w:tab w:val="num" w:pos="709"/>
        </w:tabs>
        <w:overflowPunct w:val="0"/>
        <w:autoSpaceDE w:val="0"/>
        <w:autoSpaceDN w:val="0"/>
        <w:adjustRightInd w:val="0"/>
        <w:spacing w:line="360" w:lineRule="auto"/>
        <w:jc w:val="both"/>
        <w:textAlignment w:val="baseline"/>
        <w:rPr>
          <w:rFonts w:ascii="Bookman Old Style" w:hAnsi="Bookman Old Style" w:cs="Arial"/>
          <w:sz w:val="28"/>
          <w:szCs w:val="28"/>
        </w:rPr>
      </w:pPr>
      <w:r>
        <w:rPr>
          <w:rFonts w:ascii="Bookman Old Style" w:hAnsi="Bookman Old Style" w:cs="Arial"/>
          <w:sz w:val="28"/>
          <w:szCs w:val="28"/>
        </w:rPr>
        <w:tab/>
      </w:r>
      <w:r w:rsidR="00106E10" w:rsidRPr="00B55CF4">
        <w:rPr>
          <w:rFonts w:ascii="Bookman Old Style" w:hAnsi="Bookman Old Style" w:cs="Arial"/>
          <w:sz w:val="28"/>
          <w:szCs w:val="28"/>
        </w:rPr>
        <w:t xml:space="preserve">La </w:t>
      </w:r>
      <w:r w:rsidR="007D435E" w:rsidRPr="007D435E">
        <w:rPr>
          <w:rFonts w:ascii="Bookman Old Style" w:hAnsi="Bookman Old Style" w:cs="Arial"/>
          <w:sz w:val="28"/>
          <w:szCs w:val="28"/>
        </w:rPr>
        <w:t xml:space="preserve">Sala </w:t>
      </w:r>
      <w:r w:rsidR="00513E00">
        <w:rPr>
          <w:rFonts w:ascii="Bookman Old Style" w:hAnsi="Bookman Old Style" w:cs="Arial"/>
          <w:sz w:val="28"/>
          <w:szCs w:val="28"/>
        </w:rPr>
        <w:t>de Decisión Penal</w:t>
      </w:r>
      <w:r w:rsidR="004F1E51" w:rsidRPr="007D435E">
        <w:rPr>
          <w:rFonts w:ascii="Bookman Old Style" w:hAnsi="Bookman Old Style" w:cs="Arial"/>
          <w:sz w:val="28"/>
          <w:szCs w:val="28"/>
        </w:rPr>
        <w:t xml:space="preserve"> </w:t>
      </w:r>
      <w:r w:rsidR="004F1E51" w:rsidRPr="004F1E51">
        <w:rPr>
          <w:rFonts w:ascii="Bookman Old Style" w:hAnsi="Bookman Old Style"/>
          <w:sz w:val="28"/>
          <w:szCs w:val="28"/>
          <w:lang w:val="es-ES_tradnl"/>
        </w:rPr>
        <w:t>del T</w:t>
      </w:r>
      <w:r w:rsidR="00635375">
        <w:rPr>
          <w:rFonts w:ascii="Bookman Old Style" w:hAnsi="Bookman Old Style"/>
          <w:sz w:val="28"/>
          <w:szCs w:val="28"/>
          <w:lang w:val="es-ES_tradnl"/>
        </w:rPr>
        <w:t xml:space="preserve">ribunal Superior de </w:t>
      </w:r>
      <w:r w:rsidR="00D3489B">
        <w:rPr>
          <w:rFonts w:ascii="Bookman Old Style" w:hAnsi="Bookman Old Style"/>
          <w:sz w:val="28"/>
          <w:szCs w:val="28"/>
          <w:lang w:val="es-ES_tradnl"/>
        </w:rPr>
        <w:t>Valledupar</w:t>
      </w:r>
      <w:r w:rsidR="00106E10" w:rsidRPr="00B55CF4">
        <w:rPr>
          <w:rFonts w:ascii="Bookman Old Style" w:hAnsi="Bookman Old Style" w:cs="Arial"/>
          <w:sz w:val="28"/>
          <w:szCs w:val="28"/>
        </w:rPr>
        <w:t xml:space="preserve">, </w:t>
      </w:r>
      <w:r w:rsidR="00D95211" w:rsidRPr="004846DC">
        <w:rPr>
          <w:rFonts w:ascii="Bookman Old Style" w:hAnsi="Bookman Old Style" w:cs="Arial"/>
          <w:sz w:val="28"/>
          <w:szCs w:val="28"/>
        </w:rPr>
        <w:t xml:space="preserve">mediante la providencia </w:t>
      </w:r>
      <w:r w:rsidR="004F1E51">
        <w:rPr>
          <w:rFonts w:ascii="Bookman Old Style" w:hAnsi="Bookman Old Style" w:cs="Arial"/>
          <w:sz w:val="28"/>
          <w:szCs w:val="28"/>
        </w:rPr>
        <w:t>de</w:t>
      </w:r>
      <w:r w:rsidR="004F1E51">
        <w:rPr>
          <w:rFonts w:ascii="Bookman Old Style" w:hAnsi="Bookman Old Style"/>
          <w:sz w:val="28"/>
          <w:szCs w:val="28"/>
          <w:lang w:val="es-ES"/>
        </w:rPr>
        <w:t xml:space="preserve"> </w:t>
      </w:r>
      <w:r w:rsidR="00D3489B">
        <w:rPr>
          <w:rFonts w:ascii="Bookman Old Style" w:hAnsi="Bookman Old Style"/>
          <w:sz w:val="28"/>
          <w:szCs w:val="28"/>
          <w:lang w:val="es-ES"/>
        </w:rPr>
        <w:t>24</w:t>
      </w:r>
      <w:r w:rsidR="00C91C53" w:rsidRPr="00C91C53">
        <w:rPr>
          <w:rFonts w:ascii="Bookman Old Style" w:hAnsi="Bookman Old Style"/>
          <w:sz w:val="28"/>
          <w:szCs w:val="28"/>
          <w:lang w:val="es-ES"/>
        </w:rPr>
        <w:t xml:space="preserve"> de </w:t>
      </w:r>
      <w:r w:rsidR="00D3489B">
        <w:rPr>
          <w:rFonts w:ascii="Bookman Old Style" w:hAnsi="Bookman Old Style"/>
          <w:sz w:val="28"/>
          <w:szCs w:val="28"/>
          <w:lang w:val="es-ES"/>
        </w:rPr>
        <w:t>junio</w:t>
      </w:r>
      <w:r w:rsidR="00C91C53" w:rsidRPr="00C91C53">
        <w:rPr>
          <w:rFonts w:ascii="Bookman Old Style" w:hAnsi="Bookman Old Style"/>
          <w:sz w:val="28"/>
          <w:szCs w:val="28"/>
          <w:lang w:val="es-ES"/>
        </w:rPr>
        <w:t xml:space="preserve"> de 2021</w:t>
      </w:r>
      <w:r w:rsidR="00D95211" w:rsidRPr="004846DC">
        <w:rPr>
          <w:rFonts w:ascii="Bookman Old Style" w:hAnsi="Bookman Old Style" w:cs="Arial"/>
          <w:sz w:val="28"/>
          <w:szCs w:val="28"/>
        </w:rPr>
        <w:t xml:space="preserve">, </w:t>
      </w:r>
      <w:r w:rsidR="00D3489B">
        <w:rPr>
          <w:rFonts w:ascii="Bookman Old Style" w:hAnsi="Bookman Old Style" w:cs="Arial"/>
          <w:sz w:val="28"/>
          <w:szCs w:val="28"/>
        </w:rPr>
        <w:t>denegó por improcedente</w:t>
      </w:r>
      <w:r w:rsidR="001C1E0F">
        <w:rPr>
          <w:rFonts w:ascii="Bookman Old Style" w:hAnsi="Bookman Old Style" w:cs="Arial"/>
          <w:sz w:val="28"/>
          <w:szCs w:val="28"/>
        </w:rPr>
        <w:t xml:space="preserve"> el</w:t>
      </w:r>
      <w:r w:rsidR="00C35E52">
        <w:rPr>
          <w:rFonts w:ascii="Bookman Old Style" w:hAnsi="Bookman Old Style" w:cs="Arial"/>
          <w:sz w:val="28"/>
          <w:szCs w:val="28"/>
        </w:rPr>
        <w:t xml:space="preserve"> amparo tras </w:t>
      </w:r>
      <w:r w:rsidR="00D95211" w:rsidRPr="00A435E2">
        <w:rPr>
          <w:rFonts w:ascii="Bookman Old Style" w:hAnsi="Bookman Old Style" w:cs="Arial"/>
          <w:sz w:val="28"/>
          <w:szCs w:val="28"/>
        </w:rPr>
        <w:t xml:space="preserve">considerar </w:t>
      </w:r>
      <w:r w:rsidR="00D95211">
        <w:rPr>
          <w:rFonts w:ascii="Bookman Old Style" w:hAnsi="Bookman Old Style" w:cs="Arial"/>
          <w:sz w:val="28"/>
          <w:szCs w:val="28"/>
        </w:rPr>
        <w:t xml:space="preserve">que </w:t>
      </w:r>
      <w:r w:rsidR="00D3489B">
        <w:rPr>
          <w:rFonts w:ascii="Bookman Old Style" w:hAnsi="Bookman Old Style" w:cs="Arial"/>
          <w:sz w:val="28"/>
          <w:szCs w:val="28"/>
        </w:rPr>
        <w:t>en el presente asunto no se satisfacía el requisito de la subsidiariedad, en la medida que en contra de la sentencia de 26 de septiembre de 2019 no fue interpuesta en su momento recurso alguno pese a que el accionante fue debidamente noticiado, pues, a la lectura de la misma el defensor del procesado dejó constancia de haberse comunicado con la mamá del implicado.</w:t>
      </w:r>
    </w:p>
    <w:p w14:paraId="73DB8C83" w14:textId="48AA6C1C" w:rsidR="00D3489B" w:rsidRDefault="00D3489B" w:rsidP="00D3489B">
      <w:pPr>
        <w:tabs>
          <w:tab w:val="num" w:pos="709"/>
        </w:tabs>
        <w:overflowPunct w:val="0"/>
        <w:autoSpaceDE w:val="0"/>
        <w:autoSpaceDN w:val="0"/>
        <w:adjustRightInd w:val="0"/>
        <w:spacing w:line="360" w:lineRule="auto"/>
        <w:jc w:val="both"/>
        <w:textAlignment w:val="baseline"/>
        <w:rPr>
          <w:rFonts w:ascii="Bookman Old Style" w:hAnsi="Bookman Old Style" w:cs="Arial"/>
          <w:sz w:val="28"/>
          <w:szCs w:val="28"/>
        </w:rPr>
      </w:pPr>
    </w:p>
    <w:p w14:paraId="4D024503" w14:textId="04E2CF68" w:rsidR="00D3489B" w:rsidRDefault="00D3489B" w:rsidP="00D3489B">
      <w:pPr>
        <w:tabs>
          <w:tab w:val="num" w:pos="709"/>
        </w:tabs>
        <w:overflowPunct w:val="0"/>
        <w:autoSpaceDE w:val="0"/>
        <w:autoSpaceDN w:val="0"/>
        <w:adjustRightInd w:val="0"/>
        <w:spacing w:line="360" w:lineRule="auto"/>
        <w:jc w:val="both"/>
        <w:textAlignment w:val="baseline"/>
        <w:rPr>
          <w:rFonts w:ascii="Bookman Old Style" w:hAnsi="Bookman Old Style" w:cs="Arial"/>
          <w:sz w:val="28"/>
          <w:szCs w:val="28"/>
        </w:rPr>
      </w:pPr>
      <w:r>
        <w:rPr>
          <w:rFonts w:ascii="Bookman Old Style" w:hAnsi="Bookman Old Style" w:cs="Arial"/>
          <w:sz w:val="28"/>
          <w:szCs w:val="28"/>
        </w:rPr>
        <w:tab/>
        <w:t xml:space="preserve">Además de ello, destacó que al revisar el contenido del fallo, no se evidencia la irregularidad que pregona el actor, </w:t>
      </w:r>
      <w:r>
        <w:rPr>
          <w:rFonts w:ascii="Bookman Old Style" w:hAnsi="Bookman Old Style" w:cs="Arial"/>
          <w:sz w:val="28"/>
          <w:szCs w:val="28"/>
        </w:rPr>
        <w:lastRenderedPageBreak/>
        <w:t>dado que en últimas fue condenado en los términos aceptados en el preacuerdo, esto es, por el delito de receptación agravada pero degradando de autor a cómplice.</w:t>
      </w:r>
    </w:p>
    <w:p w14:paraId="280F25C7" w14:textId="682903E1" w:rsidR="00D3489B" w:rsidRDefault="00D3489B" w:rsidP="00D3489B">
      <w:pPr>
        <w:tabs>
          <w:tab w:val="num" w:pos="709"/>
        </w:tabs>
        <w:overflowPunct w:val="0"/>
        <w:autoSpaceDE w:val="0"/>
        <w:autoSpaceDN w:val="0"/>
        <w:adjustRightInd w:val="0"/>
        <w:spacing w:line="360" w:lineRule="auto"/>
        <w:jc w:val="both"/>
        <w:textAlignment w:val="baseline"/>
        <w:rPr>
          <w:rFonts w:ascii="Bookman Old Style" w:hAnsi="Bookman Old Style" w:cs="Arial"/>
          <w:sz w:val="28"/>
          <w:szCs w:val="28"/>
        </w:rPr>
      </w:pPr>
    </w:p>
    <w:p w14:paraId="0B8999BE" w14:textId="0C3B8D7E" w:rsidR="00EA7E7E" w:rsidRPr="00EA7E7E" w:rsidRDefault="00EA7E7E" w:rsidP="00451069">
      <w:pPr>
        <w:tabs>
          <w:tab w:val="num" w:pos="709"/>
        </w:tabs>
        <w:overflowPunct w:val="0"/>
        <w:autoSpaceDE w:val="0"/>
        <w:autoSpaceDN w:val="0"/>
        <w:adjustRightInd w:val="0"/>
        <w:spacing w:line="360" w:lineRule="auto"/>
        <w:jc w:val="both"/>
        <w:textAlignment w:val="baseline"/>
        <w:rPr>
          <w:rFonts w:ascii="Bookman Old Style" w:hAnsi="Bookman Old Style" w:cs="Arial"/>
          <w:sz w:val="28"/>
          <w:szCs w:val="28"/>
        </w:rPr>
      </w:pPr>
    </w:p>
    <w:p w14:paraId="6610956E" w14:textId="77777777" w:rsidR="00E90C4B" w:rsidRDefault="0080548E" w:rsidP="00C91C53">
      <w:pPr>
        <w:pStyle w:val="Prrafodelista"/>
        <w:spacing w:line="360" w:lineRule="auto"/>
        <w:jc w:val="center"/>
        <w:rPr>
          <w:rFonts w:ascii="Bookman Old Style" w:eastAsia="Calibri" w:hAnsi="Bookman Old Style" w:cs="Arial"/>
          <w:b/>
          <w:bCs/>
          <w:sz w:val="28"/>
          <w:szCs w:val="28"/>
          <w:lang w:val="es-ES_tradnl"/>
        </w:rPr>
      </w:pPr>
      <w:r w:rsidRPr="00106E10">
        <w:rPr>
          <w:rFonts w:ascii="Bookman Old Style" w:eastAsia="Calibri" w:hAnsi="Bookman Old Style" w:cs="Arial"/>
          <w:b/>
          <w:bCs/>
          <w:sz w:val="28"/>
          <w:szCs w:val="28"/>
          <w:lang w:val="es-ES_tradnl"/>
        </w:rPr>
        <w:t>DE LA IMPUGNACI</w:t>
      </w:r>
      <w:r w:rsidR="00E92C38" w:rsidRPr="00106E10">
        <w:rPr>
          <w:rFonts w:ascii="Bookman Old Style" w:eastAsia="Calibri" w:hAnsi="Bookman Old Style" w:cs="Arial"/>
          <w:b/>
          <w:bCs/>
          <w:sz w:val="28"/>
          <w:szCs w:val="28"/>
          <w:lang w:val="es-ES_tradnl"/>
        </w:rPr>
        <w:t>Ó</w:t>
      </w:r>
      <w:r w:rsidR="00AD694F" w:rsidRPr="00106E10">
        <w:rPr>
          <w:rFonts w:ascii="Bookman Old Style" w:eastAsia="Calibri" w:hAnsi="Bookman Old Style" w:cs="Arial"/>
          <w:b/>
          <w:bCs/>
          <w:sz w:val="28"/>
          <w:szCs w:val="28"/>
          <w:lang w:val="es-ES_tradnl"/>
        </w:rPr>
        <w:t>N</w:t>
      </w:r>
    </w:p>
    <w:p w14:paraId="25418FFA" w14:textId="77777777" w:rsidR="009A078C" w:rsidRDefault="009A078C" w:rsidP="009E3F68">
      <w:pPr>
        <w:pStyle w:val="Prrafodelista"/>
        <w:tabs>
          <w:tab w:val="num" w:pos="1134"/>
        </w:tabs>
        <w:spacing w:line="480" w:lineRule="auto"/>
        <w:rPr>
          <w:rFonts w:ascii="Bookman Old Style" w:eastAsia="Calibri" w:hAnsi="Bookman Old Style" w:cs="Arial"/>
          <w:b/>
          <w:bCs/>
          <w:sz w:val="28"/>
          <w:szCs w:val="28"/>
          <w:lang w:val="es-ES_tradnl"/>
        </w:rPr>
      </w:pPr>
    </w:p>
    <w:p w14:paraId="4E8DAC46" w14:textId="59A4CD99" w:rsidR="00A25F82" w:rsidRDefault="009B5C8A" w:rsidP="001E17F7">
      <w:pPr>
        <w:tabs>
          <w:tab w:val="num" w:pos="709"/>
        </w:tabs>
        <w:spacing w:line="360" w:lineRule="auto"/>
        <w:ind w:firstLine="709"/>
        <w:jc w:val="both"/>
        <w:rPr>
          <w:rFonts w:ascii="Bookman Old Style" w:hAnsi="Bookman Old Style" w:cs="Arial"/>
          <w:sz w:val="28"/>
          <w:szCs w:val="28"/>
        </w:rPr>
      </w:pPr>
      <w:r>
        <w:rPr>
          <w:rFonts w:ascii="Bookman Old Style" w:hAnsi="Bookman Old Style" w:cs="Arial"/>
          <w:sz w:val="28"/>
          <w:szCs w:val="28"/>
        </w:rPr>
        <w:t xml:space="preserve">Fue presentada por </w:t>
      </w:r>
      <w:r w:rsidR="00566A75" w:rsidRPr="00566A75">
        <w:rPr>
          <w:rFonts w:ascii="Bookman Old Style" w:hAnsi="Bookman Old Style"/>
          <w:sz w:val="28"/>
          <w:szCs w:val="28"/>
        </w:rPr>
        <w:t>el apoderado</w:t>
      </w:r>
      <w:r w:rsidR="00566A75">
        <w:rPr>
          <w:rFonts w:ascii="Bookman Old Style" w:hAnsi="Bookman Old Style" w:cs="Arial"/>
          <w:sz w:val="28"/>
          <w:szCs w:val="28"/>
        </w:rPr>
        <w:t xml:space="preserve"> de</w:t>
      </w:r>
      <w:r w:rsidR="00BA2E50">
        <w:rPr>
          <w:rFonts w:ascii="Bookman Old Style" w:hAnsi="Bookman Old Style" w:cs="Arial"/>
          <w:sz w:val="28"/>
          <w:szCs w:val="28"/>
        </w:rPr>
        <w:t>l accionante, quien reiteró los argumentos expuestos en la demanda de tutela inicial</w:t>
      </w:r>
      <w:r w:rsidR="00D3489B">
        <w:rPr>
          <w:rFonts w:ascii="Bookman Old Style" w:hAnsi="Bookman Old Style" w:cs="Arial"/>
          <w:sz w:val="28"/>
          <w:szCs w:val="28"/>
        </w:rPr>
        <w:t>.</w:t>
      </w:r>
    </w:p>
    <w:p w14:paraId="2C16D3CB" w14:textId="5EFA3A06" w:rsidR="00A25F82" w:rsidRDefault="00A25F82" w:rsidP="001E17F7">
      <w:pPr>
        <w:tabs>
          <w:tab w:val="num" w:pos="709"/>
        </w:tabs>
        <w:spacing w:line="360" w:lineRule="auto"/>
        <w:ind w:firstLine="709"/>
        <w:jc w:val="both"/>
        <w:rPr>
          <w:rFonts w:ascii="Bookman Old Style" w:hAnsi="Bookman Old Style" w:cs="Arial"/>
          <w:sz w:val="28"/>
          <w:szCs w:val="28"/>
        </w:rPr>
      </w:pPr>
    </w:p>
    <w:p w14:paraId="6C2EA866" w14:textId="77777777" w:rsidR="00D84A2A" w:rsidRDefault="00D84A2A" w:rsidP="00D3489B">
      <w:pPr>
        <w:tabs>
          <w:tab w:val="num" w:pos="709"/>
        </w:tabs>
        <w:spacing w:line="360" w:lineRule="auto"/>
        <w:jc w:val="both"/>
        <w:rPr>
          <w:rFonts w:ascii="Bookman Old Style" w:hAnsi="Bookman Old Style" w:cs="Arial"/>
          <w:sz w:val="28"/>
          <w:szCs w:val="28"/>
        </w:rPr>
      </w:pPr>
    </w:p>
    <w:p w14:paraId="1064F9BD" w14:textId="77777777" w:rsidR="00D156C6" w:rsidRDefault="00011530" w:rsidP="00C91C53">
      <w:pPr>
        <w:pStyle w:val="Prrafodelista"/>
        <w:spacing w:line="360" w:lineRule="auto"/>
        <w:jc w:val="center"/>
        <w:rPr>
          <w:rFonts w:ascii="Bookman Old Style" w:eastAsia="Calibri" w:hAnsi="Bookman Old Style" w:cs="Arial"/>
          <w:b/>
          <w:sz w:val="28"/>
          <w:szCs w:val="28"/>
        </w:rPr>
      </w:pPr>
      <w:r w:rsidRPr="003A2F56">
        <w:rPr>
          <w:rFonts w:ascii="Bookman Old Style" w:eastAsia="Calibri" w:hAnsi="Bookman Old Style" w:cs="Arial"/>
          <w:b/>
          <w:sz w:val="28"/>
          <w:szCs w:val="28"/>
        </w:rPr>
        <w:t>C</w:t>
      </w:r>
      <w:r w:rsidR="00D156C6" w:rsidRPr="003A2F56">
        <w:rPr>
          <w:rFonts w:ascii="Bookman Old Style" w:eastAsia="Calibri" w:hAnsi="Bookman Old Style" w:cs="Arial"/>
          <w:b/>
          <w:sz w:val="28"/>
          <w:szCs w:val="28"/>
        </w:rPr>
        <w:t>ONSIDERACIONES</w:t>
      </w:r>
    </w:p>
    <w:p w14:paraId="0CCD730C" w14:textId="77777777" w:rsidR="00D2504D" w:rsidRDefault="00D2504D" w:rsidP="00D2504D">
      <w:pPr>
        <w:pStyle w:val="Prrafodelista"/>
        <w:spacing w:line="360" w:lineRule="auto"/>
        <w:jc w:val="center"/>
        <w:rPr>
          <w:rFonts w:ascii="Bookman Old Style" w:eastAsia="Calibri" w:hAnsi="Bookman Old Style" w:cs="Arial"/>
          <w:b/>
          <w:sz w:val="28"/>
          <w:szCs w:val="28"/>
        </w:rPr>
      </w:pPr>
    </w:p>
    <w:p w14:paraId="40C34D5B" w14:textId="0B6000AA" w:rsidR="00D2504D" w:rsidRDefault="00D2504D" w:rsidP="00D2504D">
      <w:pPr>
        <w:pStyle w:val="Prrafodelista"/>
        <w:spacing w:line="360" w:lineRule="auto"/>
        <w:ind w:left="0" w:firstLine="709"/>
        <w:jc w:val="both"/>
        <w:rPr>
          <w:rFonts w:ascii="Bookman Old Style" w:hAnsi="Bookman Old Style" w:cs="Arial"/>
          <w:sz w:val="28"/>
          <w:szCs w:val="28"/>
        </w:rPr>
      </w:pPr>
      <w:r>
        <w:rPr>
          <w:rFonts w:ascii="Bookman Old Style" w:hAnsi="Bookman Old Style" w:cs="Arial"/>
          <w:sz w:val="28"/>
          <w:szCs w:val="28"/>
        </w:rPr>
        <w:t xml:space="preserve">De conformidad con lo establecido en el </w:t>
      </w:r>
      <w:r>
        <w:rPr>
          <w:rFonts w:ascii="Bookman Old Style" w:hAnsi="Bookman Old Style" w:cs="Bookman Old Style"/>
          <w:spacing w:val="-3"/>
          <w:sz w:val="28"/>
          <w:szCs w:val="28"/>
        </w:rPr>
        <w:t>artículo 32 del Decreto 2591 de 1991,</w:t>
      </w:r>
      <w:r>
        <w:rPr>
          <w:rFonts w:ascii="Bookman Old Style" w:hAnsi="Bookman Old Style" w:cs="Arial"/>
          <w:sz w:val="28"/>
          <w:szCs w:val="28"/>
        </w:rPr>
        <w:t xml:space="preserve"> es competente esta Sala para pronunciarse sobre la impugnación presentada contra el fallo emitido por la Sala </w:t>
      </w:r>
      <w:r w:rsidR="008043B4">
        <w:rPr>
          <w:rFonts w:ascii="Bookman Old Style" w:hAnsi="Bookman Old Style" w:cs="Arial"/>
          <w:sz w:val="28"/>
          <w:szCs w:val="28"/>
        </w:rPr>
        <w:t>de Decisión Penal</w:t>
      </w:r>
      <w:r w:rsidR="00DD7063">
        <w:rPr>
          <w:rFonts w:ascii="Bookman Old Style" w:hAnsi="Bookman Old Style" w:cs="Arial"/>
          <w:sz w:val="28"/>
          <w:szCs w:val="28"/>
        </w:rPr>
        <w:t xml:space="preserve"> </w:t>
      </w:r>
      <w:r>
        <w:rPr>
          <w:rFonts w:ascii="Bookman Old Style" w:hAnsi="Bookman Old Style" w:cs="Arial"/>
          <w:sz w:val="28"/>
          <w:szCs w:val="28"/>
        </w:rPr>
        <w:t xml:space="preserve">del Tribunal Superior </w:t>
      </w:r>
      <w:r w:rsidR="008043B4">
        <w:rPr>
          <w:rFonts w:ascii="Bookman Old Style" w:hAnsi="Bookman Old Style" w:cs="Arial"/>
          <w:sz w:val="28"/>
          <w:szCs w:val="28"/>
        </w:rPr>
        <w:t xml:space="preserve">de </w:t>
      </w:r>
      <w:r w:rsidR="00D3489B">
        <w:rPr>
          <w:rFonts w:ascii="Bookman Old Style" w:hAnsi="Bookman Old Style" w:cs="Arial"/>
          <w:sz w:val="28"/>
          <w:szCs w:val="28"/>
        </w:rPr>
        <w:t>Valledupar</w:t>
      </w:r>
      <w:r>
        <w:rPr>
          <w:rFonts w:ascii="Bookman Old Style" w:hAnsi="Bookman Old Style" w:cs="Arial"/>
          <w:sz w:val="28"/>
          <w:szCs w:val="28"/>
        </w:rPr>
        <w:t xml:space="preserve">, cuyo superior </w:t>
      </w:r>
      <w:r w:rsidR="00DD7063">
        <w:rPr>
          <w:rFonts w:ascii="Bookman Old Style" w:hAnsi="Bookman Old Style" w:cs="Arial"/>
          <w:sz w:val="28"/>
          <w:szCs w:val="28"/>
        </w:rPr>
        <w:t>jerárquico</w:t>
      </w:r>
      <w:r>
        <w:rPr>
          <w:rFonts w:ascii="Bookman Old Style" w:hAnsi="Bookman Old Style" w:cs="Arial"/>
          <w:sz w:val="28"/>
          <w:szCs w:val="28"/>
        </w:rPr>
        <w:t xml:space="preserve"> lo es esta Corporación. </w:t>
      </w:r>
    </w:p>
    <w:p w14:paraId="1F7B662A" w14:textId="77777777" w:rsidR="00DD7063" w:rsidRDefault="00DD7063" w:rsidP="00D2504D">
      <w:pPr>
        <w:pStyle w:val="Prrafodelista"/>
        <w:spacing w:line="360" w:lineRule="auto"/>
        <w:ind w:left="0" w:firstLine="709"/>
        <w:jc w:val="both"/>
        <w:rPr>
          <w:rFonts w:ascii="Bookman Old Style" w:hAnsi="Bookman Old Style"/>
          <w:sz w:val="28"/>
          <w:szCs w:val="28"/>
        </w:rPr>
      </w:pPr>
    </w:p>
    <w:p w14:paraId="4FD633EB" w14:textId="1042D1D2" w:rsidR="008043B4" w:rsidRDefault="00E107B4" w:rsidP="00570828">
      <w:pPr>
        <w:spacing w:line="360" w:lineRule="auto"/>
        <w:ind w:firstLine="709"/>
        <w:jc w:val="both"/>
        <w:rPr>
          <w:rFonts w:ascii="Bookman Old Style" w:hAnsi="Bookman Old Style" w:cs="Arial"/>
          <w:sz w:val="28"/>
          <w:szCs w:val="28"/>
        </w:rPr>
      </w:pPr>
      <w:r>
        <w:rPr>
          <w:rFonts w:ascii="Bookman Old Style" w:hAnsi="Bookman Old Style" w:cs="Arial"/>
          <w:sz w:val="28"/>
          <w:szCs w:val="28"/>
        </w:rPr>
        <w:t xml:space="preserve">El </w:t>
      </w:r>
      <w:r w:rsidR="008043B4">
        <w:rPr>
          <w:rFonts w:ascii="Bookman Old Style" w:hAnsi="Bookman Old Style" w:cs="Arial"/>
          <w:sz w:val="28"/>
          <w:szCs w:val="28"/>
        </w:rPr>
        <w:t xml:space="preserve">canon 86 de la Constitución Política establece que toda persona tiene derecho a promover acción de tutela ante los jueces, con miras a obtener la protección inmediata de sus derechos fundamentales, cuando por acción u omisión le sean vulnerados o amenazados por cualquier autoridad pública o por particulares, en los casos previstos de forma expresa en la ley; siempre que no exista otro medio de </w:t>
      </w:r>
      <w:r w:rsidR="008043B4">
        <w:rPr>
          <w:rFonts w:ascii="Bookman Old Style" w:hAnsi="Bookman Old Style" w:cs="Arial"/>
          <w:sz w:val="28"/>
          <w:szCs w:val="28"/>
        </w:rPr>
        <w:lastRenderedPageBreak/>
        <w:t>defensa judicial o, existiendo, la misma se utilice como mecanismo transitorio para evitar la materialización de un perjuicio de carácter irremediable.</w:t>
      </w:r>
    </w:p>
    <w:p w14:paraId="67928DB8" w14:textId="77777777" w:rsidR="008043B4" w:rsidRDefault="008043B4" w:rsidP="008043B4">
      <w:pPr>
        <w:widowControl w:val="0"/>
        <w:spacing w:line="360" w:lineRule="auto"/>
        <w:ind w:firstLine="709"/>
        <w:jc w:val="both"/>
        <w:rPr>
          <w:rFonts w:ascii="Bookman Old Style" w:hAnsi="Bookman Old Style" w:cs="Arial"/>
          <w:sz w:val="28"/>
          <w:szCs w:val="28"/>
        </w:rPr>
      </w:pPr>
    </w:p>
    <w:p w14:paraId="7C53B364" w14:textId="6E7822E1" w:rsidR="008043B4" w:rsidRDefault="008043B4" w:rsidP="008043B4">
      <w:pPr>
        <w:spacing w:line="360" w:lineRule="auto"/>
        <w:ind w:firstLine="709"/>
        <w:jc w:val="both"/>
        <w:rPr>
          <w:rFonts w:ascii="Bookman Old Style" w:hAnsi="Bookman Old Style"/>
          <w:sz w:val="28"/>
          <w:szCs w:val="28"/>
        </w:rPr>
      </w:pPr>
      <w:r>
        <w:rPr>
          <w:rFonts w:ascii="Bookman Old Style" w:hAnsi="Bookman Old Style"/>
          <w:sz w:val="28"/>
          <w:szCs w:val="28"/>
        </w:rPr>
        <w:t>Uno de los presupuestos de procedibilidad consiste, precisamente, en que se hayan agotado todas las herramientas judiciales (CC C-590- 2005 y CC T-332-2006; CSJ STP16324-2016, 10 nov. 2016, radicado 89049), porque es ante el fallador natural, el estadio adecuado donde el peticionario puede plantear sus desavenencias, expresar los motivos de su desacuerdo frente a las decisiones adoptadas, y recurrirlas, hasta llegar, incluso, a la autoridad de cierre de la jurisdicción ordinaria, si fuere el caso, para que finalmente dirima la cuestión debatida.</w:t>
      </w:r>
    </w:p>
    <w:p w14:paraId="32160495" w14:textId="77777777" w:rsidR="008043B4" w:rsidRDefault="008043B4" w:rsidP="008043B4">
      <w:pPr>
        <w:widowControl w:val="0"/>
        <w:spacing w:line="360" w:lineRule="auto"/>
        <w:ind w:firstLine="709"/>
        <w:jc w:val="both"/>
        <w:rPr>
          <w:rFonts w:ascii="Bookman Old Style" w:hAnsi="Bookman Old Style" w:cs="Arial"/>
          <w:sz w:val="28"/>
          <w:szCs w:val="28"/>
        </w:rPr>
      </w:pPr>
    </w:p>
    <w:p w14:paraId="1680430C" w14:textId="05A54A37" w:rsidR="00D3489B" w:rsidRDefault="008043B4" w:rsidP="00D3489B">
      <w:pPr>
        <w:spacing w:line="360" w:lineRule="auto"/>
        <w:ind w:right="6" w:firstLine="720"/>
        <w:jc w:val="both"/>
        <w:rPr>
          <w:rFonts w:ascii="Bookman Old Style" w:hAnsi="Bookman Old Style"/>
          <w:sz w:val="28"/>
          <w:szCs w:val="28"/>
          <w:lang w:val="es-ES_tradnl"/>
        </w:rPr>
      </w:pPr>
      <w:r w:rsidRPr="007545BA">
        <w:rPr>
          <w:rFonts w:ascii="Bookman Old Style" w:hAnsi="Bookman Old Style"/>
          <w:sz w:val="28"/>
          <w:szCs w:val="24"/>
        </w:rPr>
        <w:t xml:space="preserve">En el caso que concita la atención de la Sala, </w:t>
      </w:r>
      <w:r>
        <w:rPr>
          <w:rFonts w:ascii="Bookman Old Style" w:hAnsi="Bookman Old Style"/>
          <w:sz w:val="28"/>
          <w:szCs w:val="24"/>
        </w:rPr>
        <w:t xml:space="preserve">el problema jurídico </w:t>
      </w:r>
      <w:r w:rsidR="002A647B">
        <w:rPr>
          <w:rFonts w:ascii="Bookman Old Style" w:hAnsi="Bookman Old Style"/>
          <w:sz w:val="28"/>
          <w:szCs w:val="24"/>
        </w:rPr>
        <w:t xml:space="preserve">se contrae </w:t>
      </w:r>
      <w:r>
        <w:rPr>
          <w:rFonts w:ascii="Bookman Old Style" w:hAnsi="Bookman Old Style"/>
          <w:sz w:val="28"/>
          <w:szCs w:val="24"/>
        </w:rPr>
        <w:t xml:space="preserve">a resolver </w:t>
      </w:r>
      <w:r w:rsidR="00D3489B" w:rsidRPr="00266693">
        <w:rPr>
          <w:rFonts w:ascii="Bookman Old Style" w:hAnsi="Bookman Old Style"/>
          <w:sz w:val="28"/>
          <w:szCs w:val="28"/>
        </w:rPr>
        <w:t>la impugnación interpuesta</w:t>
      </w:r>
      <w:r w:rsidR="00D3489B">
        <w:rPr>
          <w:rFonts w:ascii="Bookman Old Style" w:hAnsi="Bookman Old Style"/>
          <w:sz w:val="28"/>
          <w:szCs w:val="28"/>
        </w:rPr>
        <w:t xml:space="preserve"> por el apoderado de </w:t>
      </w:r>
      <w:r w:rsidR="00D3489B" w:rsidRPr="00D3489B">
        <w:rPr>
          <w:rFonts w:ascii="Bookman Old Style" w:hAnsi="Bookman Old Style"/>
          <w:b/>
          <w:sz w:val="28"/>
          <w:szCs w:val="28"/>
        </w:rPr>
        <w:t>Fernán Ortega Baquero</w:t>
      </w:r>
      <w:r w:rsidR="00D3489B" w:rsidRPr="00266693">
        <w:rPr>
          <w:rFonts w:ascii="Bookman Old Style" w:hAnsi="Bookman Old Style"/>
          <w:sz w:val="28"/>
          <w:szCs w:val="28"/>
          <w:lang w:val="es-ES"/>
        </w:rPr>
        <w:t>, en relación con el fallo proferido</w:t>
      </w:r>
      <w:r w:rsidR="00D3489B">
        <w:rPr>
          <w:rFonts w:ascii="Bookman Old Style" w:hAnsi="Bookman Old Style"/>
          <w:sz w:val="28"/>
          <w:szCs w:val="28"/>
          <w:lang w:val="es-ES"/>
        </w:rPr>
        <w:t xml:space="preserve"> el</w:t>
      </w:r>
      <w:r w:rsidR="00D3489B" w:rsidRPr="00266693">
        <w:rPr>
          <w:rFonts w:ascii="Bookman Old Style" w:hAnsi="Bookman Old Style"/>
          <w:sz w:val="28"/>
          <w:szCs w:val="28"/>
          <w:lang w:val="es-ES"/>
        </w:rPr>
        <w:t xml:space="preserve"> </w:t>
      </w:r>
      <w:r w:rsidR="00D3489B">
        <w:rPr>
          <w:rFonts w:ascii="Bookman Old Style" w:hAnsi="Bookman Old Style"/>
          <w:sz w:val="28"/>
          <w:szCs w:val="28"/>
          <w:lang w:val="es-ES"/>
        </w:rPr>
        <w:t>24</w:t>
      </w:r>
      <w:r w:rsidR="00D3489B" w:rsidRPr="00266693">
        <w:rPr>
          <w:rFonts w:ascii="Bookman Old Style" w:hAnsi="Bookman Old Style"/>
          <w:sz w:val="28"/>
          <w:szCs w:val="28"/>
          <w:lang w:val="es-ES"/>
        </w:rPr>
        <w:t xml:space="preserve"> de </w:t>
      </w:r>
      <w:r w:rsidR="00D3489B">
        <w:rPr>
          <w:rFonts w:ascii="Bookman Old Style" w:hAnsi="Bookman Old Style"/>
          <w:sz w:val="28"/>
          <w:szCs w:val="28"/>
          <w:lang w:val="es-ES"/>
        </w:rPr>
        <w:t>junio</w:t>
      </w:r>
      <w:r w:rsidR="00D3489B" w:rsidRPr="00266693">
        <w:rPr>
          <w:rFonts w:ascii="Bookman Old Style" w:hAnsi="Bookman Old Style"/>
          <w:sz w:val="28"/>
          <w:szCs w:val="28"/>
          <w:lang w:val="es-ES"/>
        </w:rPr>
        <w:t xml:space="preserve"> </w:t>
      </w:r>
      <w:r w:rsidR="00D3489B">
        <w:rPr>
          <w:rFonts w:ascii="Bookman Old Style" w:hAnsi="Bookman Old Style"/>
          <w:sz w:val="28"/>
          <w:szCs w:val="28"/>
          <w:lang w:val="es-ES"/>
        </w:rPr>
        <w:t xml:space="preserve">de 2021 </w:t>
      </w:r>
      <w:r w:rsidR="00D3489B" w:rsidRPr="00266693">
        <w:rPr>
          <w:rFonts w:ascii="Bookman Old Style" w:hAnsi="Bookman Old Style"/>
          <w:sz w:val="28"/>
          <w:szCs w:val="28"/>
          <w:lang w:val="es-ES"/>
        </w:rPr>
        <w:t xml:space="preserve">por la </w:t>
      </w:r>
      <w:r w:rsidR="00D3489B" w:rsidRPr="00B408C5">
        <w:rPr>
          <w:rFonts w:ascii="Bookman Old Style" w:hAnsi="Bookman Old Style"/>
          <w:sz w:val="28"/>
          <w:szCs w:val="28"/>
          <w:lang w:val="es-ES_tradnl"/>
        </w:rPr>
        <w:t xml:space="preserve">Sala </w:t>
      </w:r>
      <w:r w:rsidR="00D3489B">
        <w:rPr>
          <w:rFonts w:ascii="Bookman Old Style" w:hAnsi="Bookman Old Style"/>
          <w:sz w:val="28"/>
          <w:szCs w:val="28"/>
          <w:lang w:val="es-ES_tradnl"/>
        </w:rPr>
        <w:t>Penal</w:t>
      </w:r>
      <w:r w:rsidR="00D3489B" w:rsidRPr="00B408C5">
        <w:rPr>
          <w:rFonts w:ascii="Bookman Old Style" w:hAnsi="Bookman Old Style"/>
          <w:sz w:val="28"/>
          <w:szCs w:val="28"/>
          <w:lang w:val="es-ES_tradnl"/>
        </w:rPr>
        <w:t xml:space="preserve"> del Tribunal Superior de </w:t>
      </w:r>
      <w:r w:rsidR="00D3489B">
        <w:rPr>
          <w:rFonts w:ascii="Bookman Old Style" w:hAnsi="Bookman Old Style"/>
          <w:sz w:val="28"/>
          <w:szCs w:val="28"/>
          <w:lang w:val="es-ES_tradnl"/>
        </w:rPr>
        <w:t>Valledupar</w:t>
      </w:r>
      <w:r w:rsidR="00D3489B" w:rsidRPr="00266693">
        <w:rPr>
          <w:rFonts w:ascii="Bookman Old Style" w:hAnsi="Bookman Old Style"/>
          <w:sz w:val="28"/>
          <w:szCs w:val="28"/>
          <w:lang w:val="es-ES"/>
        </w:rPr>
        <w:t>,</w:t>
      </w:r>
      <w:r w:rsidR="00D3489B" w:rsidRPr="00266693">
        <w:rPr>
          <w:rFonts w:ascii="Bookman Old Style" w:hAnsi="Bookman Old Style"/>
          <w:sz w:val="28"/>
          <w:szCs w:val="28"/>
          <w:lang w:val="es-ES_tradnl"/>
        </w:rPr>
        <w:t xml:space="preserve"> que </w:t>
      </w:r>
      <w:r w:rsidR="00D3489B">
        <w:rPr>
          <w:rFonts w:ascii="Bookman Old Style" w:hAnsi="Bookman Old Style"/>
          <w:sz w:val="28"/>
          <w:szCs w:val="28"/>
          <w:lang w:val="es-ES_tradnl"/>
        </w:rPr>
        <w:t xml:space="preserve">denegó por improcedente </w:t>
      </w:r>
      <w:r w:rsidR="00D3489B" w:rsidRPr="00266693">
        <w:rPr>
          <w:rFonts w:ascii="Bookman Old Style" w:hAnsi="Bookman Old Style"/>
          <w:sz w:val="28"/>
          <w:szCs w:val="28"/>
          <w:lang w:val="es-ES_tradnl"/>
        </w:rPr>
        <w:t xml:space="preserve">el amparo de </w:t>
      </w:r>
      <w:r w:rsidR="00D3489B">
        <w:rPr>
          <w:rFonts w:ascii="Bookman Old Style" w:hAnsi="Bookman Old Style"/>
          <w:sz w:val="28"/>
          <w:szCs w:val="28"/>
          <w:lang w:val="es-ES_tradnl"/>
        </w:rPr>
        <w:t>los</w:t>
      </w:r>
      <w:r w:rsidR="00D3489B" w:rsidRPr="00266693">
        <w:rPr>
          <w:rFonts w:ascii="Bookman Old Style" w:hAnsi="Bookman Old Style"/>
          <w:sz w:val="28"/>
          <w:szCs w:val="28"/>
          <w:lang w:val="es-ES_tradnl"/>
        </w:rPr>
        <w:t xml:space="preserve"> derecho</w:t>
      </w:r>
      <w:r w:rsidR="00D3489B">
        <w:rPr>
          <w:rFonts w:ascii="Bookman Old Style" w:hAnsi="Bookman Old Style"/>
          <w:sz w:val="28"/>
          <w:szCs w:val="28"/>
          <w:lang w:val="es-ES_tradnl"/>
        </w:rPr>
        <w:t>s</w:t>
      </w:r>
      <w:r w:rsidR="00D3489B" w:rsidRPr="00266693">
        <w:rPr>
          <w:rFonts w:ascii="Bookman Old Style" w:hAnsi="Bookman Old Style"/>
          <w:sz w:val="28"/>
          <w:szCs w:val="28"/>
          <w:lang w:val="es-ES_tradnl"/>
        </w:rPr>
        <w:t xml:space="preserve"> fundamental</w:t>
      </w:r>
      <w:r w:rsidR="00D3489B">
        <w:rPr>
          <w:rFonts w:ascii="Bookman Old Style" w:hAnsi="Bookman Old Style"/>
          <w:sz w:val="28"/>
          <w:szCs w:val="28"/>
          <w:lang w:val="es-ES_tradnl"/>
        </w:rPr>
        <w:t>es</w:t>
      </w:r>
      <w:r w:rsidR="00D3489B" w:rsidRPr="00266693">
        <w:rPr>
          <w:rFonts w:ascii="Bookman Old Style" w:hAnsi="Bookman Old Style"/>
          <w:sz w:val="28"/>
          <w:szCs w:val="28"/>
          <w:lang w:val="es-ES_tradnl"/>
        </w:rPr>
        <w:t xml:space="preserve"> </w:t>
      </w:r>
      <w:r w:rsidR="00D3489B">
        <w:rPr>
          <w:rFonts w:ascii="Bookman Old Style" w:hAnsi="Bookman Old Style"/>
          <w:sz w:val="28"/>
          <w:szCs w:val="28"/>
          <w:lang w:val="es-ES_tradnl"/>
        </w:rPr>
        <w:t xml:space="preserve">al debido proceso y acceso a la administración de justicia, </w:t>
      </w:r>
      <w:r w:rsidR="00D3489B" w:rsidRPr="00266693">
        <w:rPr>
          <w:rFonts w:ascii="Bookman Old Style" w:hAnsi="Bookman Old Style"/>
          <w:sz w:val="28"/>
          <w:szCs w:val="28"/>
          <w:lang w:val="es-ES_tradnl"/>
        </w:rPr>
        <w:t>presuntamente vulnerado</w:t>
      </w:r>
      <w:r w:rsidR="00D3489B">
        <w:rPr>
          <w:rFonts w:ascii="Bookman Old Style" w:hAnsi="Bookman Old Style"/>
          <w:sz w:val="28"/>
          <w:szCs w:val="28"/>
          <w:lang w:val="es-ES_tradnl"/>
        </w:rPr>
        <w:t xml:space="preserve">s </w:t>
      </w:r>
      <w:r w:rsidR="00D3489B" w:rsidRPr="00266693">
        <w:rPr>
          <w:rFonts w:ascii="Bookman Old Style" w:hAnsi="Bookman Old Style"/>
          <w:sz w:val="28"/>
          <w:szCs w:val="28"/>
          <w:lang w:val="es-ES_tradnl"/>
        </w:rPr>
        <w:t xml:space="preserve">por </w:t>
      </w:r>
      <w:r w:rsidR="00D3489B">
        <w:rPr>
          <w:rFonts w:ascii="Bookman Old Style" w:hAnsi="Bookman Old Style"/>
          <w:sz w:val="28"/>
          <w:szCs w:val="28"/>
          <w:lang w:val="es-ES_tradnl"/>
        </w:rPr>
        <w:t>el J</w:t>
      </w:r>
      <w:r w:rsidR="00D3489B" w:rsidRPr="00D3489B">
        <w:rPr>
          <w:rFonts w:ascii="Bookman Old Style" w:hAnsi="Bookman Old Style"/>
          <w:sz w:val="28"/>
          <w:szCs w:val="28"/>
          <w:lang w:val="es-ES_tradnl"/>
        </w:rPr>
        <w:t xml:space="preserve">uzgado Segundo Penal del Circuito con Funciones de Conocimiento de Valledupar y la Fiscalía Dieciocho Seccional </w:t>
      </w:r>
      <w:r w:rsidR="00D3489B">
        <w:rPr>
          <w:rFonts w:ascii="Bookman Old Style" w:hAnsi="Bookman Old Style"/>
          <w:sz w:val="28"/>
          <w:szCs w:val="28"/>
          <w:lang w:val="es-ES_tradnl"/>
        </w:rPr>
        <w:t>de esa ciudad.</w:t>
      </w:r>
    </w:p>
    <w:p w14:paraId="07568E65" w14:textId="5198EC7D" w:rsidR="008043B4" w:rsidRDefault="008043B4" w:rsidP="00D25842">
      <w:pPr>
        <w:spacing w:line="360" w:lineRule="auto"/>
        <w:ind w:right="6" w:firstLine="720"/>
        <w:jc w:val="both"/>
        <w:rPr>
          <w:rFonts w:ascii="Bookman Old Style" w:hAnsi="Bookman Old Style"/>
          <w:sz w:val="28"/>
          <w:szCs w:val="28"/>
          <w:lang w:val="es-ES_tradnl"/>
        </w:rPr>
      </w:pPr>
    </w:p>
    <w:p w14:paraId="6A710D09" w14:textId="396DB147" w:rsidR="00063374" w:rsidRDefault="009F7841" w:rsidP="00104686">
      <w:pPr>
        <w:spacing w:line="360" w:lineRule="auto"/>
        <w:ind w:right="6" w:firstLine="720"/>
        <w:jc w:val="both"/>
        <w:rPr>
          <w:rFonts w:ascii="Bookman Old Style" w:hAnsi="Bookman Old Style"/>
          <w:sz w:val="28"/>
          <w:szCs w:val="28"/>
          <w:lang w:val="es-ES_tradnl"/>
        </w:rPr>
      </w:pPr>
      <w:r>
        <w:rPr>
          <w:rFonts w:ascii="Bookman Old Style" w:hAnsi="Bookman Old Style"/>
          <w:sz w:val="28"/>
          <w:szCs w:val="28"/>
          <w:lang w:val="es-ES_tradnl"/>
        </w:rPr>
        <w:t xml:space="preserve">A juicio del actor, se afectaron sus prerrogativas superiores </w:t>
      </w:r>
      <w:r w:rsidR="00E95F4A">
        <w:rPr>
          <w:rFonts w:ascii="Bookman Old Style" w:hAnsi="Bookman Old Style"/>
          <w:sz w:val="28"/>
          <w:szCs w:val="28"/>
          <w:lang w:val="es-ES_tradnl"/>
        </w:rPr>
        <w:t xml:space="preserve">en el proceso </w:t>
      </w:r>
      <w:r w:rsidR="00E8597F">
        <w:rPr>
          <w:rFonts w:ascii="Bookman Old Style" w:hAnsi="Bookman Old Style"/>
          <w:sz w:val="28"/>
          <w:szCs w:val="28"/>
          <w:lang w:val="es-ES_tradnl"/>
        </w:rPr>
        <w:t xml:space="preserve">de radicación </w:t>
      </w:r>
      <w:r w:rsidR="00D3489B" w:rsidRPr="00D3489B">
        <w:rPr>
          <w:rFonts w:ascii="Bookman Old Style" w:hAnsi="Bookman Old Style"/>
          <w:sz w:val="28"/>
          <w:szCs w:val="28"/>
          <w:lang w:val="es-ES_tradnl"/>
        </w:rPr>
        <w:lastRenderedPageBreak/>
        <w:t>200016001074201601354</w:t>
      </w:r>
      <w:r w:rsidR="00E95F4A">
        <w:rPr>
          <w:rFonts w:ascii="Bookman Old Style" w:hAnsi="Bookman Old Style"/>
          <w:sz w:val="28"/>
          <w:szCs w:val="28"/>
          <w:lang w:val="es-ES_tradnl"/>
        </w:rPr>
        <w:t xml:space="preserve">, que culminó con sentencia condenatoria de </w:t>
      </w:r>
      <w:r w:rsidR="00D3489B">
        <w:rPr>
          <w:rFonts w:ascii="Bookman Old Style" w:hAnsi="Bookman Old Style"/>
          <w:sz w:val="28"/>
          <w:szCs w:val="28"/>
          <w:lang w:val="es-ES_tradnl"/>
        </w:rPr>
        <w:t>26</w:t>
      </w:r>
      <w:r w:rsidR="00BA2E50">
        <w:rPr>
          <w:rFonts w:ascii="Bookman Old Style" w:hAnsi="Bookman Old Style"/>
          <w:sz w:val="28"/>
          <w:szCs w:val="28"/>
          <w:lang w:val="es-ES_tradnl"/>
        </w:rPr>
        <w:t xml:space="preserve"> de </w:t>
      </w:r>
      <w:r w:rsidR="00D3489B">
        <w:rPr>
          <w:rFonts w:ascii="Bookman Old Style" w:hAnsi="Bookman Old Style"/>
          <w:sz w:val="28"/>
          <w:szCs w:val="28"/>
          <w:lang w:val="es-ES_tradnl"/>
        </w:rPr>
        <w:t>septiembre</w:t>
      </w:r>
      <w:r w:rsidR="00BA2E50">
        <w:rPr>
          <w:rFonts w:ascii="Bookman Old Style" w:hAnsi="Bookman Old Style"/>
          <w:sz w:val="28"/>
          <w:szCs w:val="28"/>
          <w:lang w:val="es-ES_tradnl"/>
        </w:rPr>
        <w:t xml:space="preserve"> de </w:t>
      </w:r>
      <w:r w:rsidR="00D3489B">
        <w:rPr>
          <w:rFonts w:ascii="Bookman Old Style" w:hAnsi="Bookman Old Style"/>
          <w:sz w:val="28"/>
          <w:szCs w:val="28"/>
          <w:lang w:val="es-ES_tradnl"/>
        </w:rPr>
        <w:t>2019</w:t>
      </w:r>
      <w:r w:rsidR="00212E39">
        <w:rPr>
          <w:rFonts w:ascii="Bookman Old Style" w:hAnsi="Bookman Old Style"/>
          <w:sz w:val="28"/>
          <w:szCs w:val="28"/>
          <w:lang w:val="es-ES_tradnl"/>
        </w:rPr>
        <w:t xml:space="preserve">, pues en dicha actuación fue </w:t>
      </w:r>
      <w:r w:rsidR="00BA2E50">
        <w:rPr>
          <w:rFonts w:ascii="Bookman Old Style" w:hAnsi="Bookman Old Style"/>
          <w:sz w:val="28"/>
          <w:szCs w:val="28"/>
          <w:lang w:val="es-ES_tradnl"/>
        </w:rPr>
        <w:t xml:space="preserve">condenado </w:t>
      </w:r>
      <w:r w:rsidR="00D3489B">
        <w:rPr>
          <w:rFonts w:ascii="Bookman Old Style" w:hAnsi="Bookman Old Style"/>
          <w:sz w:val="28"/>
          <w:szCs w:val="28"/>
          <w:lang w:val="es-ES_tradnl"/>
        </w:rPr>
        <w:t>sin respetarse los términos del preacuerdo celebrado con la fiscalía, además de que no pu</w:t>
      </w:r>
      <w:r w:rsidR="004B2F3D">
        <w:rPr>
          <w:rFonts w:ascii="Bookman Old Style" w:hAnsi="Bookman Old Style"/>
          <w:sz w:val="28"/>
          <w:szCs w:val="28"/>
          <w:lang w:val="es-ES_tradnl"/>
        </w:rPr>
        <w:t>d</w:t>
      </w:r>
      <w:r w:rsidR="00D3489B">
        <w:rPr>
          <w:rFonts w:ascii="Bookman Old Style" w:hAnsi="Bookman Old Style"/>
          <w:sz w:val="28"/>
          <w:szCs w:val="28"/>
          <w:lang w:val="es-ES_tradnl"/>
        </w:rPr>
        <w:t>o controvertir la decisión</w:t>
      </w:r>
      <w:r w:rsidR="004B2F3D">
        <w:rPr>
          <w:rFonts w:ascii="Bookman Old Style" w:hAnsi="Bookman Old Style"/>
          <w:sz w:val="28"/>
          <w:szCs w:val="28"/>
          <w:lang w:val="es-ES_tradnl"/>
        </w:rPr>
        <w:t>,</w:t>
      </w:r>
      <w:r w:rsidR="00D3489B">
        <w:rPr>
          <w:rFonts w:ascii="Bookman Old Style" w:hAnsi="Bookman Old Style"/>
          <w:sz w:val="28"/>
          <w:szCs w:val="28"/>
          <w:lang w:val="es-ES_tradnl"/>
        </w:rPr>
        <w:t xml:space="preserve"> dado que no fue debidamente enterado de la </w:t>
      </w:r>
      <w:r w:rsidR="004B2F3D">
        <w:rPr>
          <w:rFonts w:ascii="Bookman Old Style" w:hAnsi="Bookman Old Style"/>
          <w:sz w:val="28"/>
          <w:szCs w:val="28"/>
          <w:lang w:val="es-ES_tradnl"/>
        </w:rPr>
        <w:t>audiencia que así lo dispuso</w:t>
      </w:r>
      <w:r w:rsidR="00D3489B">
        <w:rPr>
          <w:rFonts w:ascii="Bookman Old Style" w:hAnsi="Bookman Old Style"/>
          <w:sz w:val="28"/>
          <w:szCs w:val="28"/>
          <w:lang w:val="es-ES_tradnl"/>
        </w:rPr>
        <w:t>.</w:t>
      </w:r>
    </w:p>
    <w:p w14:paraId="7D725DBB" w14:textId="77777777" w:rsidR="00D25842" w:rsidRPr="004B2F3D" w:rsidRDefault="00D25842" w:rsidP="00AF662A">
      <w:pPr>
        <w:spacing w:line="360" w:lineRule="auto"/>
        <w:ind w:right="6"/>
        <w:jc w:val="both"/>
        <w:rPr>
          <w:rFonts w:ascii="Bookman Old Style" w:hAnsi="Bookman Old Style" w:cs="Arial"/>
          <w:sz w:val="28"/>
          <w:szCs w:val="28"/>
          <w:lang w:val="es-ES_tradnl"/>
        </w:rPr>
      </w:pPr>
    </w:p>
    <w:p w14:paraId="1E514136" w14:textId="1BF4BDE0" w:rsidR="00D3489B" w:rsidRDefault="00D3489B" w:rsidP="00D3489B">
      <w:pPr>
        <w:spacing w:line="360" w:lineRule="auto"/>
        <w:ind w:firstLine="705"/>
        <w:jc w:val="both"/>
        <w:rPr>
          <w:rFonts w:ascii="Bookman Old Style" w:hAnsi="Bookman Old Style" w:cs="Arial"/>
          <w:sz w:val="28"/>
          <w:szCs w:val="28"/>
        </w:rPr>
      </w:pPr>
      <w:r>
        <w:rPr>
          <w:rFonts w:ascii="Bookman Old Style" w:hAnsi="Bookman Old Style" w:cs="Arial"/>
          <w:sz w:val="28"/>
          <w:szCs w:val="28"/>
        </w:rPr>
        <w:t xml:space="preserve">El presente asunto convoca </w:t>
      </w:r>
      <w:r w:rsidR="004B2F3D">
        <w:rPr>
          <w:rFonts w:ascii="Bookman Old Style" w:hAnsi="Bookman Old Style" w:cs="Arial"/>
          <w:sz w:val="28"/>
          <w:szCs w:val="28"/>
        </w:rPr>
        <w:t xml:space="preserve">-inicialmente- </w:t>
      </w:r>
      <w:r>
        <w:rPr>
          <w:rFonts w:ascii="Bookman Old Style" w:hAnsi="Bookman Old Style" w:cs="Arial"/>
          <w:sz w:val="28"/>
          <w:szCs w:val="28"/>
        </w:rPr>
        <w:t>al estudio de la debida citación a las audiencias que componen el proceso penal y al derecho a la defensa material.</w:t>
      </w:r>
    </w:p>
    <w:p w14:paraId="2E3F72A9" w14:textId="77777777" w:rsidR="00D3489B" w:rsidRDefault="00D3489B" w:rsidP="00D3489B">
      <w:pPr>
        <w:spacing w:line="360" w:lineRule="auto"/>
        <w:ind w:firstLine="705"/>
        <w:jc w:val="both"/>
        <w:rPr>
          <w:rFonts w:ascii="Bookman Old Style" w:hAnsi="Bookman Old Style" w:cs="Arial"/>
          <w:sz w:val="28"/>
          <w:szCs w:val="28"/>
        </w:rPr>
      </w:pPr>
    </w:p>
    <w:p w14:paraId="48447BD7" w14:textId="3EACE219" w:rsidR="00DD509B" w:rsidRPr="00A25B5A" w:rsidRDefault="00D3489B" w:rsidP="00DD509B">
      <w:pPr>
        <w:pStyle w:val="Textoindependiente2"/>
        <w:spacing w:after="0" w:line="360" w:lineRule="auto"/>
        <w:ind w:firstLine="709"/>
        <w:jc w:val="both"/>
        <w:rPr>
          <w:rFonts w:ascii="Bookman Old Style" w:hAnsi="Bookman Old Style" w:cs="Arial"/>
          <w:sz w:val="28"/>
          <w:szCs w:val="28"/>
        </w:rPr>
      </w:pPr>
      <w:r>
        <w:rPr>
          <w:rFonts w:ascii="Bookman Old Style" w:hAnsi="Bookman Old Style" w:cs="Arial"/>
          <w:sz w:val="28"/>
          <w:szCs w:val="28"/>
        </w:rPr>
        <w:t>En cuanto al primer punto, c</w:t>
      </w:r>
      <w:r w:rsidR="00DD509B">
        <w:rPr>
          <w:rFonts w:ascii="Bookman Old Style" w:hAnsi="Bookman Old Style" w:cs="Arial"/>
          <w:sz w:val="28"/>
          <w:szCs w:val="28"/>
        </w:rPr>
        <w:t xml:space="preserve">onviene recordar que </w:t>
      </w:r>
      <w:r w:rsidR="00DD509B">
        <w:rPr>
          <w:rFonts w:ascii="Bookman Old Style" w:hAnsi="Bookman Old Style"/>
          <w:sz w:val="28"/>
          <w:szCs w:val="28"/>
        </w:rPr>
        <w:t>e</w:t>
      </w:r>
      <w:r w:rsidR="00DD509B" w:rsidRPr="00A25B5A">
        <w:rPr>
          <w:rFonts w:ascii="Bookman Old Style" w:hAnsi="Bookman Old Style"/>
          <w:sz w:val="28"/>
          <w:szCs w:val="28"/>
        </w:rPr>
        <w:t xml:space="preserve">n el marco del Estado Social de Derecho se instituyen cargas a los funcionarios responsables de la actuación judicial en cualquiera de sus especies, tendientes a la materialización de las garantías fundamentales de los ciudadanos. Entre ellas, la obligación de dar publicidad de las decisiones proferidas dentro en un determinado trámite, a fin de </w:t>
      </w:r>
      <w:r w:rsidR="00DD509B" w:rsidRPr="00A25B5A">
        <w:rPr>
          <w:rFonts w:ascii="Bookman Old Style" w:hAnsi="Bookman Old Style" w:cs="Arial"/>
          <w:sz w:val="28"/>
          <w:szCs w:val="28"/>
        </w:rPr>
        <w:t>asegurar el ejercicio de los derechos a la defensa y contradicción de los directamente interesados, que entre otras, se realiza con la notificación de las decisiones.</w:t>
      </w:r>
    </w:p>
    <w:p w14:paraId="064FC5F8" w14:textId="77777777" w:rsidR="00DD509B" w:rsidRPr="00A25B5A" w:rsidRDefault="00DD509B" w:rsidP="00DD509B">
      <w:pPr>
        <w:pStyle w:val="Sinespaciado"/>
        <w:spacing w:line="360" w:lineRule="auto"/>
        <w:jc w:val="both"/>
        <w:rPr>
          <w:rFonts w:ascii="Bookman Old Style" w:hAnsi="Bookman Old Style" w:cs="Arial"/>
          <w:sz w:val="28"/>
          <w:szCs w:val="28"/>
        </w:rPr>
      </w:pPr>
    </w:p>
    <w:p w14:paraId="3D6A6CEC" w14:textId="77777777" w:rsidR="00DD509B" w:rsidRPr="00A25B5A" w:rsidRDefault="00DD509B" w:rsidP="00DD509B">
      <w:pPr>
        <w:spacing w:line="360" w:lineRule="auto"/>
        <w:ind w:firstLine="709"/>
        <w:jc w:val="both"/>
        <w:rPr>
          <w:rFonts w:ascii="Bookman Old Style" w:hAnsi="Bookman Old Style"/>
          <w:iCs/>
          <w:sz w:val="28"/>
          <w:szCs w:val="28"/>
          <w:bdr w:val="none" w:sz="0" w:space="0" w:color="auto" w:frame="1"/>
        </w:rPr>
      </w:pPr>
      <w:r w:rsidRPr="00A25B5A">
        <w:rPr>
          <w:rFonts w:ascii="Bookman Old Style" w:hAnsi="Bookman Old Style"/>
          <w:iCs/>
          <w:sz w:val="28"/>
          <w:szCs w:val="28"/>
          <w:bdr w:val="none" w:sz="0" w:space="0" w:color="auto" w:frame="1"/>
        </w:rPr>
        <w:t xml:space="preserve">En ese orden, la Corte Constitucional ha sostenido que la notificación constituye </w:t>
      </w:r>
      <w:r w:rsidRPr="00A25B5A">
        <w:rPr>
          <w:rFonts w:ascii="Bookman Old Style" w:hAnsi="Bookman Old Style"/>
        </w:rPr>
        <w:t>«</w:t>
      </w:r>
      <w:r w:rsidRPr="00A25B5A">
        <w:rPr>
          <w:rFonts w:ascii="Bookman Old Style" w:hAnsi="Bookman Old Style"/>
          <w:i/>
          <w:sz w:val="26"/>
          <w:szCs w:val="26"/>
          <w:bdr w:val="none" w:sz="0" w:space="0" w:color="auto" w:frame="1"/>
        </w:rPr>
        <w:t xml:space="preserve">el acto material de comunicación a través del cual se ponen en conocimiento de las partes y de los terceros interesados las decisiones proferidas por las autoridades públicas, en ejercicio de sus atribuciones constitucionales y legales, </w:t>
      </w:r>
      <w:r w:rsidRPr="00A25B5A">
        <w:rPr>
          <w:rFonts w:ascii="Bookman Old Style" w:hAnsi="Bookman Old Style"/>
          <w:i/>
          <w:sz w:val="26"/>
          <w:szCs w:val="26"/>
          <w:bdr w:val="none" w:sz="0" w:space="0" w:color="auto" w:frame="1"/>
        </w:rPr>
        <w:lastRenderedPageBreak/>
        <w:t>con la finalidad de que las partes conozcan su contenido, y puedan así atacarlas o controvertirlas en defensa de sus intereses»</w:t>
      </w:r>
      <w:r w:rsidRPr="00A25B5A">
        <w:rPr>
          <w:rFonts w:ascii="Bookman Old Style" w:hAnsi="Bookman Old Style"/>
          <w:i/>
          <w:sz w:val="26"/>
          <w:szCs w:val="26"/>
          <w:bdr w:val="none" w:sz="0" w:space="0" w:color="auto" w:frame="1"/>
        </w:rPr>
        <w:footnoteReference w:id="1"/>
      </w:r>
      <w:r w:rsidRPr="00A25B5A">
        <w:rPr>
          <w:rFonts w:ascii="Bookman Old Style" w:hAnsi="Bookman Old Style"/>
          <w:i/>
          <w:sz w:val="26"/>
          <w:szCs w:val="26"/>
          <w:bdr w:val="none" w:sz="0" w:space="0" w:color="auto" w:frame="1"/>
        </w:rPr>
        <w:t>.</w:t>
      </w:r>
      <w:r w:rsidRPr="00A25B5A">
        <w:rPr>
          <w:rFonts w:ascii="Bookman Old Style" w:hAnsi="Bookman Old Style"/>
          <w:sz w:val="28"/>
          <w:szCs w:val="28"/>
        </w:rPr>
        <w:t xml:space="preserve"> </w:t>
      </w:r>
    </w:p>
    <w:p w14:paraId="36E16B8F" w14:textId="77777777" w:rsidR="00DD509B" w:rsidRPr="00A25B5A" w:rsidRDefault="00DD509B" w:rsidP="00DD509B">
      <w:pPr>
        <w:spacing w:line="360" w:lineRule="auto"/>
        <w:jc w:val="both"/>
        <w:rPr>
          <w:rFonts w:ascii="Bookman Old Style" w:hAnsi="Bookman Old Style"/>
          <w:iCs/>
          <w:sz w:val="28"/>
          <w:szCs w:val="28"/>
          <w:bdr w:val="none" w:sz="0" w:space="0" w:color="auto" w:frame="1"/>
        </w:rPr>
      </w:pPr>
    </w:p>
    <w:p w14:paraId="00E80DEB" w14:textId="77777777" w:rsidR="00DD509B" w:rsidRPr="00A25B5A" w:rsidRDefault="00DD509B" w:rsidP="00DD509B">
      <w:pPr>
        <w:pStyle w:val="Textoindependiente2"/>
        <w:spacing w:after="0" w:line="360" w:lineRule="auto"/>
        <w:ind w:firstLine="567"/>
        <w:jc w:val="both"/>
        <w:rPr>
          <w:rFonts w:ascii="Bookman Old Style" w:hAnsi="Bookman Old Style"/>
          <w:sz w:val="28"/>
          <w:szCs w:val="28"/>
        </w:rPr>
      </w:pPr>
      <w:r w:rsidRPr="00A25B5A">
        <w:rPr>
          <w:rFonts w:ascii="Bookman Old Style" w:hAnsi="Bookman Old Style"/>
          <w:sz w:val="28"/>
          <w:szCs w:val="28"/>
        </w:rPr>
        <w:t>Una de las principales manifestaciones del debido proceso es precisamente el derecho a la defensa, entendido como la oportunidad reconocida a toda persona, de ser oída, de hacer valer las propias razones y argumentos, de controvertir, contradecir y objetar las pruebas recaudadas en su contra y de solicitar la práctica y evaluación de las que se estiman favorables, así como de ejercitar los recursos que la ley otorga. (CC-T-668 de 2013).</w:t>
      </w:r>
    </w:p>
    <w:p w14:paraId="616A8FFD" w14:textId="77777777" w:rsidR="00DD509B" w:rsidRPr="00A25B5A" w:rsidRDefault="00DD509B" w:rsidP="00DD509B">
      <w:pPr>
        <w:spacing w:line="360" w:lineRule="auto"/>
        <w:jc w:val="both"/>
        <w:rPr>
          <w:rFonts w:ascii="Bookman Old Style" w:hAnsi="Bookman Old Style"/>
          <w:iCs/>
          <w:sz w:val="28"/>
          <w:szCs w:val="28"/>
          <w:bdr w:val="none" w:sz="0" w:space="0" w:color="auto" w:frame="1"/>
        </w:rPr>
      </w:pPr>
    </w:p>
    <w:p w14:paraId="5022CFC7" w14:textId="77777777" w:rsidR="00DD509B" w:rsidRPr="00A25B5A" w:rsidRDefault="00DD509B" w:rsidP="00DD509B">
      <w:pPr>
        <w:pStyle w:val="Textoindependiente2"/>
        <w:spacing w:after="0" w:line="360" w:lineRule="auto"/>
        <w:ind w:firstLine="567"/>
        <w:jc w:val="both"/>
        <w:rPr>
          <w:rFonts w:ascii="Bookman Old Style" w:hAnsi="Bookman Old Style"/>
          <w:sz w:val="28"/>
          <w:szCs w:val="28"/>
        </w:rPr>
      </w:pPr>
      <w:r w:rsidRPr="00A25B5A">
        <w:rPr>
          <w:rFonts w:ascii="Bookman Old Style" w:hAnsi="Bookman Old Style"/>
          <w:sz w:val="28"/>
          <w:szCs w:val="28"/>
        </w:rPr>
        <w:t>En materia penal, dicha garantía debe ser reconocida íntegramente durante la etapa del juzgamiento, la cual implica que el procesado debe ser citado adecuadamente a la totalidad de las audiencias, distinto es que, por su propia voluntad, decida no acudir.</w:t>
      </w:r>
    </w:p>
    <w:p w14:paraId="6289D5B0" w14:textId="77777777" w:rsidR="00DD509B" w:rsidRPr="00A25B5A" w:rsidRDefault="00DD509B" w:rsidP="00DD509B">
      <w:pPr>
        <w:spacing w:line="360" w:lineRule="auto"/>
        <w:jc w:val="both"/>
        <w:rPr>
          <w:rFonts w:ascii="Bookman Old Style" w:hAnsi="Bookman Old Style"/>
          <w:iCs/>
          <w:sz w:val="28"/>
          <w:szCs w:val="28"/>
          <w:bdr w:val="none" w:sz="0" w:space="0" w:color="auto" w:frame="1"/>
        </w:rPr>
      </w:pPr>
    </w:p>
    <w:p w14:paraId="5CD7BD51" w14:textId="77777777" w:rsidR="00DD509B" w:rsidRPr="00A25B5A" w:rsidRDefault="00DD509B" w:rsidP="00DD509B">
      <w:pPr>
        <w:spacing w:line="360" w:lineRule="auto"/>
        <w:ind w:firstLine="709"/>
        <w:jc w:val="both"/>
        <w:rPr>
          <w:rFonts w:ascii="Bookman Old Style" w:hAnsi="Bookman Old Style"/>
          <w:iCs/>
          <w:sz w:val="28"/>
          <w:szCs w:val="28"/>
          <w:bdr w:val="none" w:sz="0" w:space="0" w:color="auto" w:frame="1"/>
        </w:rPr>
      </w:pPr>
      <w:r w:rsidRPr="00A25B5A">
        <w:rPr>
          <w:rFonts w:ascii="Bookman Old Style" w:hAnsi="Bookman Old Style"/>
          <w:iCs/>
          <w:sz w:val="28"/>
          <w:szCs w:val="28"/>
          <w:bdr w:val="none" w:sz="0" w:space="0" w:color="auto" w:frame="1"/>
        </w:rPr>
        <w:t>Lo anterior impone la carga de llevar a cabo la efectiva comunicación de las decisiones proferidas en el marco del sistema penal acusatorio, no solo de las sentencias y autos</w:t>
      </w:r>
      <w:r w:rsidRPr="00A25B5A">
        <w:rPr>
          <w:rStyle w:val="Refdenotaalpie"/>
          <w:rFonts w:ascii="Bookman Old Style" w:hAnsi="Bookman Old Style"/>
          <w:iCs/>
          <w:sz w:val="28"/>
          <w:szCs w:val="28"/>
          <w:bdr w:val="none" w:sz="0" w:space="0" w:color="auto" w:frame="1"/>
        </w:rPr>
        <w:footnoteReference w:id="2"/>
      </w:r>
      <w:r w:rsidRPr="00A25B5A">
        <w:rPr>
          <w:rFonts w:ascii="Bookman Old Style" w:hAnsi="Bookman Old Style"/>
          <w:iCs/>
          <w:sz w:val="28"/>
          <w:szCs w:val="28"/>
          <w:bdr w:val="none" w:sz="0" w:space="0" w:color="auto" w:frame="1"/>
        </w:rPr>
        <w:t xml:space="preserve">, </w:t>
      </w:r>
      <w:r w:rsidRPr="00A25B5A">
        <w:rPr>
          <w:rFonts w:ascii="Bookman Old Style" w:hAnsi="Bookman Old Style"/>
          <w:iCs/>
          <w:sz w:val="28"/>
          <w:szCs w:val="28"/>
          <w:bdr w:val="none" w:sz="0" w:space="0" w:color="auto" w:frame="1"/>
        </w:rPr>
        <w:lastRenderedPageBreak/>
        <w:t xml:space="preserve">sino, además, de las </w:t>
      </w:r>
      <w:r w:rsidRPr="00A25B5A">
        <w:rPr>
          <w:rFonts w:ascii="Bookman Old Style" w:hAnsi="Bookman Old Style"/>
          <w:sz w:val="28"/>
          <w:szCs w:val="28"/>
        </w:rPr>
        <w:t>audiencias o trámites especiales que deban adelantarse.</w:t>
      </w:r>
      <w:r w:rsidRPr="00A25B5A">
        <w:rPr>
          <w:rFonts w:ascii="Bookman Old Style" w:hAnsi="Bookman Old Style"/>
          <w:iCs/>
          <w:sz w:val="28"/>
          <w:szCs w:val="28"/>
          <w:bdr w:val="none" w:sz="0" w:space="0" w:color="auto" w:frame="1"/>
        </w:rPr>
        <w:t xml:space="preserve"> </w:t>
      </w:r>
    </w:p>
    <w:p w14:paraId="5B86BA58" w14:textId="77777777" w:rsidR="00DD509B" w:rsidRPr="00A25B5A" w:rsidRDefault="00DD509B" w:rsidP="00DD509B">
      <w:pPr>
        <w:spacing w:line="360" w:lineRule="auto"/>
        <w:jc w:val="both"/>
        <w:rPr>
          <w:rFonts w:ascii="Bookman Old Style" w:hAnsi="Bookman Old Style"/>
          <w:iCs/>
          <w:sz w:val="28"/>
          <w:szCs w:val="28"/>
          <w:bdr w:val="none" w:sz="0" w:space="0" w:color="auto" w:frame="1"/>
        </w:rPr>
      </w:pPr>
    </w:p>
    <w:p w14:paraId="5AA7ADB7" w14:textId="77777777" w:rsidR="00DD509B" w:rsidRPr="00A25B5A" w:rsidRDefault="00DD509B" w:rsidP="00DD509B">
      <w:pPr>
        <w:pStyle w:val="Sinespaciado"/>
        <w:spacing w:line="360" w:lineRule="auto"/>
        <w:ind w:firstLine="708"/>
        <w:jc w:val="both"/>
        <w:rPr>
          <w:rFonts w:ascii="Bookman Old Style" w:hAnsi="Bookman Old Style"/>
          <w:sz w:val="28"/>
          <w:szCs w:val="28"/>
        </w:rPr>
      </w:pPr>
      <w:r w:rsidRPr="00A25B5A">
        <w:rPr>
          <w:rFonts w:ascii="Bookman Old Style" w:hAnsi="Bookman Old Style"/>
          <w:sz w:val="28"/>
          <w:szCs w:val="28"/>
        </w:rPr>
        <w:t xml:space="preserve">Bajo esta perspectiva, la convocatoria a las diligencias a las partes y a los intervinientes, </w:t>
      </w:r>
      <w:r w:rsidRPr="00A25B5A">
        <w:rPr>
          <w:rFonts w:ascii="Bookman Old Style" w:hAnsi="Bookman Old Style" w:cs="Arial"/>
          <w:sz w:val="28"/>
          <w:szCs w:val="28"/>
        </w:rPr>
        <w:t>que según el Título IV están conformadas por la Fiscalía General de la Nación, la defensa, el imputado y/o acusado y las víctimas</w:t>
      </w:r>
      <w:r w:rsidRPr="00A25B5A">
        <w:rPr>
          <w:rFonts w:ascii="Bookman Old Style" w:hAnsi="Bookman Old Style" w:cs="Arial"/>
          <w:b/>
          <w:sz w:val="28"/>
          <w:szCs w:val="28"/>
        </w:rPr>
        <w:t xml:space="preserve"> </w:t>
      </w:r>
      <w:r w:rsidRPr="00A25B5A">
        <w:rPr>
          <w:rFonts w:ascii="Bookman Old Style" w:hAnsi="Bookman Old Style" w:cs="Arial"/>
          <w:sz w:val="28"/>
          <w:szCs w:val="28"/>
        </w:rPr>
        <w:t xml:space="preserve">(art.  132 del Código de Procedimiento Penal), </w:t>
      </w:r>
      <w:r w:rsidRPr="00A25B5A">
        <w:rPr>
          <w:rFonts w:ascii="Bookman Old Style" w:hAnsi="Bookman Old Style"/>
          <w:sz w:val="28"/>
          <w:szCs w:val="28"/>
        </w:rPr>
        <w:t xml:space="preserve">deberá efectuarse mediante citación según la forma prevista en el artículo 172 de la Ley 906 de 2004 que reza: </w:t>
      </w:r>
    </w:p>
    <w:p w14:paraId="6DC026F6" w14:textId="77777777" w:rsidR="00DD509B" w:rsidRPr="00A25B5A" w:rsidRDefault="00DD509B" w:rsidP="00DD509B">
      <w:pPr>
        <w:pStyle w:val="Sinespaciado"/>
        <w:spacing w:line="360" w:lineRule="auto"/>
        <w:ind w:firstLine="708"/>
        <w:jc w:val="both"/>
        <w:rPr>
          <w:rFonts w:ascii="Bookman Old Style" w:hAnsi="Bookman Old Style"/>
          <w:sz w:val="28"/>
          <w:szCs w:val="28"/>
        </w:rPr>
      </w:pPr>
    </w:p>
    <w:p w14:paraId="7FA39144" w14:textId="77777777" w:rsidR="00DD509B" w:rsidRPr="00A25B5A" w:rsidRDefault="00DD509B" w:rsidP="00DD509B">
      <w:pPr>
        <w:pStyle w:val="Sinespaciado"/>
        <w:ind w:left="708"/>
        <w:jc w:val="both"/>
        <w:rPr>
          <w:rFonts w:ascii="Bookman Old Style" w:hAnsi="Bookman Old Style"/>
          <w:b/>
          <w:bCs/>
          <w:i/>
          <w:iCs/>
        </w:rPr>
      </w:pPr>
      <w:r w:rsidRPr="00A25B5A">
        <w:rPr>
          <w:rFonts w:ascii="Bookman Old Style" w:hAnsi="Bookman Old Style"/>
          <w:i/>
          <w:iCs/>
        </w:rPr>
        <w:t>Artículo 172. Forma</w:t>
      </w:r>
      <w:r w:rsidRPr="00A25B5A">
        <w:rPr>
          <w:rFonts w:ascii="Bookman Old Style" w:hAnsi="Bookman Old Style"/>
          <w:b/>
          <w:bCs/>
          <w:i/>
          <w:iCs/>
        </w:rPr>
        <w:t>.</w:t>
      </w:r>
      <w:r w:rsidRPr="00A25B5A">
        <w:rPr>
          <w:rFonts w:ascii="Bookman Old Style" w:hAnsi="Bookman Old Style"/>
          <w:i/>
          <w:iCs/>
        </w:rPr>
        <w:t xml:space="preserve"> Las citaciones se harán por orden del juez en la providencia que así lo disponga, y serán tramitadas por secretaría. </w:t>
      </w:r>
      <w:r w:rsidRPr="00A25B5A">
        <w:rPr>
          <w:rFonts w:ascii="Bookman Old Style" w:hAnsi="Bookman Old Style"/>
          <w:b/>
          <w:bCs/>
          <w:i/>
          <w:iCs/>
        </w:rPr>
        <w:t>A este efecto podrán utilizarse los medios técnicos más expeditos posibles y se guardará especial cuidado de que los intervinientes sean oportuna y verazmente informados de la existencia de la citación.</w:t>
      </w:r>
    </w:p>
    <w:p w14:paraId="4108DF1B" w14:textId="77777777" w:rsidR="00DD509B" w:rsidRPr="00A25B5A" w:rsidRDefault="00DD509B" w:rsidP="00DD509B">
      <w:pPr>
        <w:pStyle w:val="Sinespaciado"/>
        <w:ind w:left="708"/>
        <w:jc w:val="both"/>
        <w:rPr>
          <w:rFonts w:ascii="Bookman Old Style" w:hAnsi="Bookman Old Style"/>
          <w:i/>
          <w:iCs/>
        </w:rPr>
      </w:pPr>
    </w:p>
    <w:p w14:paraId="0C63DCF6" w14:textId="77777777" w:rsidR="00DD509B" w:rsidRPr="00A25B5A" w:rsidRDefault="00DD509B" w:rsidP="00DD509B">
      <w:pPr>
        <w:pStyle w:val="Sinespaciado"/>
        <w:ind w:left="708"/>
        <w:jc w:val="both"/>
        <w:rPr>
          <w:rFonts w:ascii="Bookman Old Style" w:hAnsi="Bookman Old Style"/>
          <w:i/>
          <w:iCs/>
        </w:rPr>
      </w:pPr>
      <w:r w:rsidRPr="00A25B5A">
        <w:rPr>
          <w:rFonts w:ascii="Bookman Old Style" w:hAnsi="Bookman Old Style"/>
          <w:i/>
          <w:iCs/>
        </w:rPr>
        <w:t xml:space="preserve">El juez podrá disponer el empleo de servidores de la administración de justicia y, de ser necesario, de miembros de la fuerza pública o de la policía judicial para el cumplimiento de las citaciones. </w:t>
      </w:r>
      <w:r w:rsidRPr="00A25B5A">
        <w:rPr>
          <w:rFonts w:ascii="Bookman Old Style" w:hAnsi="Bookman Old Style"/>
          <w:szCs w:val="28"/>
        </w:rPr>
        <w:t>(Negrilla propia).</w:t>
      </w:r>
    </w:p>
    <w:p w14:paraId="6E208E26" w14:textId="77777777" w:rsidR="00DD509B" w:rsidRDefault="00DD509B" w:rsidP="00DD509B">
      <w:pPr>
        <w:ind w:left="709"/>
        <w:jc w:val="both"/>
        <w:rPr>
          <w:rFonts w:ascii="Bookman Old Style" w:hAnsi="Bookman Old Style" w:cs="Arial"/>
          <w:i/>
          <w:sz w:val="24"/>
          <w:szCs w:val="24"/>
        </w:rPr>
      </w:pPr>
    </w:p>
    <w:p w14:paraId="6755FF71" w14:textId="77777777" w:rsidR="00DD509B" w:rsidRDefault="00DD509B" w:rsidP="00DD509B">
      <w:pPr>
        <w:pStyle w:val="Textoindependiente2"/>
        <w:spacing w:after="0" w:line="360" w:lineRule="auto"/>
        <w:jc w:val="both"/>
        <w:rPr>
          <w:rFonts w:ascii="Bookman Old Style" w:hAnsi="Bookman Old Style" w:cs="Arial"/>
          <w:sz w:val="28"/>
          <w:szCs w:val="28"/>
          <w:lang w:val="es-ES"/>
        </w:rPr>
      </w:pPr>
    </w:p>
    <w:p w14:paraId="4B36B386" w14:textId="26F8CD80" w:rsidR="00D3489B" w:rsidRDefault="00DD509B" w:rsidP="00D3489B">
      <w:pPr>
        <w:pStyle w:val="Textoindependiente2"/>
        <w:spacing w:after="0" w:line="360" w:lineRule="auto"/>
        <w:ind w:firstLine="709"/>
        <w:jc w:val="both"/>
        <w:rPr>
          <w:rFonts w:ascii="Bookman Old Style" w:hAnsi="Bookman Old Style" w:cs="Arial"/>
          <w:sz w:val="28"/>
          <w:szCs w:val="28"/>
          <w:lang w:val="es-ES" w:eastAsia="en-US"/>
        </w:rPr>
      </w:pPr>
      <w:r>
        <w:rPr>
          <w:rFonts w:ascii="Bookman Old Style" w:hAnsi="Bookman Old Style" w:cs="Arial"/>
          <w:sz w:val="28"/>
          <w:szCs w:val="28"/>
          <w:lang w:val="es-ES"/>
        </w:rPr>
        <w:t>A su vez</w:t>
      </w:r>
      <w:r w:rsidR="00D3489B">
        <w:rPr>
          <w:rFonts w:ascii="Bookman Old Style" w:hAnsi="Bookman Old Style" w:cs="Arial"/>
          <w:sz w:val="28"/>
          <w:szCs w:val="28"/>
          <w:lang w:val="es-ES"/>
        </w:rPr>
        <w:t xml:space="preserve">, en lo tocante con el derecho a la defensa material, </w:t>
      </w:r>
      <w:r w:rsidR="00D3489B">
        <w:rPr>
          <w:rFonts w:ascii="Bookman Old Style" w:hAnsi="Bookman Old Style" w:cs="Arial"/>
          <w:sz w:val="28"/>
          <w:szCs w:val="28"/>
        </w:rPr>
        <w:t>la Sala de Casación Penal de la Corte Suprema de Justicia en providencia del 26 de octubre de 2011, Rad. 37659 indicó:</w:t>
      </w:r>
    </w:p>
    <w:p w14:paraId="0C91EA6F" w14:textId="77777777" w:rsidR="00D3489B" w:rsidRDefault="00D3489B" w:rsidP="00D3489B">
      <w:pPr>
        <w:spacing w:line="360" w:lineRule="auto"/>
        <w:jc w:val="both"/>
        <w:rPr>
          <w:rFonts w:ascii="Bookman Old Style" w:hAnsi="Bookman Old Style" w:cs="Arial"/>
          <w:sz w:val="28"/>
          <w:szCs w:val="28"/>
        </w:rPr>
      </w:pPr>
    </w:p>
    <w:p w14:paraId="54DB5421" w14:textId="77777777" w:rsidR="00D3489B" w:rsidRDefault="00D3489B" w:rsidP="00D3489B">
      <w:pPr>
        <w:ind w:left="709"/>
        <w:jc w:val="both"/>
        <w:rPr>
          <w:rFonts w:ascii="Bookman Old Style" w:hAnsi="Bookman Old Style" w:cs="Arial"/>
          <w:i/>
          <w:sz w:val="24"/>
          <w:szCs w:val="24"/>
        </w:rPr>
      </w:pPr>
      <w:r>
        <w:rPr>
          <w:rFonts w:ascii="Bookman Old Style" w:hAnsi="Bookman Old Style" w:cs="Arial"/>
          <w:i/>
          <w:sz w:val="24"/>
          <w:szCs w:val="24"/>
        </w:rPr>
        <w:lastRenderedPageBreak/>
        <w:t xml:space="preserve">Claramente los antecedentes jurisprudenciales de la Corte Suprema de Justicia y la corte Constitucional, advierten cómo </w:t>
      </w:r>
      <w:r>
        <w:rPr>
          <w:rFonts w:ascii="Bookman Old Style" w:hAnsi="Bookman Old Style" w:cs="Arial"/>
          <w:b/>
          <w:i/>
          <w:sz w:val="24"/>
          <w:szCs w:val="24"/>
        </w:rPr>
        <w:t>la defensa material y técnica, esto es, la que adelantan particularmente el procesado y su abogado, constituyen un todo que se retroalimenta de lo favorable que individualmente cada uno realiza</w:t>
      </w:r>
      <w:r>
        <w:rPr>
          <w:rFonts w:ascii="Bookman Old Style" w:hAnsi="Bookman Old Style" w:cs="Arial"/>
          <w:i/>
          <w:sz w:val="24"/>
          <w:szCs w:val="24"/>
        </w:rPr>
        <w:t>, aunque, para favorecer la dinámica de la pretensión común, es factible que se desarrolle de manera separada, o mejor, se faculta que por vías diferentes el procesado y su representante para el proceso penal hagan solicitudes independientes o de manera autónoma estén habilitados para interponer recursos.</w:t>
      </w:r>
    </w:p>
    <w:p w14:paraId="7D374B7A" w14:textId="77777777" w:rsidR="00D3489B" w:rsidRDefault="00D3489B" w:rsidP="00D3489B">
      <w:pPr>
        <w:ind w:left="709"/>
        <w:jc w:val="both"/>
        <w:rPr>
          <w:rFonts w:ascii="Bookman Old Style" w:hAnsi="Bookman Old Style" w:cs="Arial"/>
          <w:i/>
          <w:sz w:val="24"/>
          <w:szCs w:val="24"/>
        </w:rPr>
      </w:pPr>
    </w:p>
    <w:p w14:paraId="4D579130" w14:textId="77777777" w:rsidR="00D3489B" w:rsidRDefault="00D3489B" w:rsidP="00D3489B">
      <w:pPr>
        <w:ind w:left="709"/>
        <w:jc w:val="both"/>
        <w:rPr>
          <w:rFonts w:ascii="Bookman Old Style" w:hAnsi="Bookman Old Style" w:cs="Arial"/>
          <w:i/>
          <w:sz w:val="24"/>
          <w:szCs w:val="24"/>
        </w:rPr>
      </w:pPr>
      <w:r>
        <w:rPr>
          <w:rFonts w:ascii="Bookman Old Style" w:hAnsi="Bookman Old Style" w:cs="Arial"/>
          <w:i/>
          <w:sz w:val="24"/>
          <w:szCs w:val="24"/>
        </w:rPr>
        <w:t xml:space="preserve">Esa articulación no obsta para que, en determinados eventos, deba preferirse, dada la naturaleza de la intervención o sus efectos, el criterio de uno u otro, como sucede, para citar apenas un ejemplo puntual, en los eventos de allanamiento a cargos, donde prima la voluntad del imputado o acusado.   </w:t>
      </w:r>
    </w:p>
    <w:p w14:paraId="3369C0AB" w14:textId="77777777" w:rsidR="00D3489B" w:rsidRDefault="00D3489B" w:rsidP="00D3489B">
      <w:pPr>
        <w:ind w:left="709"/>
        <w:jc w:val="both"/>
        <w:rPr>
          <w:rFonts w:ascii="Bookman Old Style" w:hAnsi="Bookman Old Style" w:cs="Arial"/>
          <w:i/>
          <w:sz w:val="24"/>
          <w:szCs w:val="24"/>
        </w:rPr>
      </w:pPr>
    </w:p>
    <w:p w14:paraId="7B113EFA" w14:textId="77777777" w:rsidR="00D3489B" w:rsidRDefault="00D3489B" w:rsidP="00D3489B">
      <w:pPr>
        <w:widowControl w:val="0"/>
        <w:spacing w:before="240"/>
        <w:ind w:left="709"/>
        <w:jc w:val="both"/>
        <w:rPr>
          <w:rFonts w:ascii="Bookman Old Style" w:hAnsi="Bookman Old Style" w:cs="Arial"/>
          <w:i/>
          <w:sz w:val="24"/>
          <w:szCs w:val="24"/>
        </w:rPr>
      </w:pPr>
      <w:r>
        <w:rPr>
          <w:rFonts w:ascii="Bookman Old Style" w:hAnsi="Bookman Old Style" w:cs="Arial"/>
          <w:i/>
          <w:sz w:val="24"/>
          <w:szCs w:val="24"/>
        </w:rPr>
        <w:t>Al respecto ha señalado la Sala:</w:t>
      </w:r>
      <w:r>
        <w:rPr>
          <w:rFonts w:ascii="Bookman Old Style" w:hAnsi="Bookman Old Style" w:cs="Arial"/>
          <w:i/>
          <w:sz w:val="24"/>
          <w:szCs w:val="24"/>
          <w:vertAlign w:val="superscript"/>
        </w:rPr>
        <w:footnoteReference w:id="3"/>
      </w:r>
    </w:p>
    <w:p w14:paraId="5FA9FB5F" w14:textId="77777777" w:rsidR="00D3489B" w:rsidRDefault="00D3489B" w:rsidP="00D3489B">
      <w:pPr>
        <w:ind w:left="1134"/>
        <w:jc w:val="both"/>
        <w:rPr>
          <w:rFonts w:ascii="Bookman Old Style" w:hAnsi="Bookman Old Style" w:cs="Arial"/>
          <w:i/>
          <w:szCs w:val="24"/>
        </w:rPr>
      </w:pPr>
    </w:p>
    <w:p w14:paraId="171D63C6" w14:textId="77777777" w:rsidR="00D3489B" w:rsidRDefault="00D3489B" w:rsidP="00D3489B">
      <w:pPr>
        <w:ind w:left="1134"/>
        <w:jc w:val="both"/>
        <w:rPr>
          <w:rFonts w:ascii="Bookman Old Style" w:hAnsi="Bookman Old Style" w:cs="Arial"/>
          <w:i/>
          <w:szCs w:val="24"/>
        </w:rPr>
      </w:pPr>
      <w:r>
        <w:rPr>
          <w:rFonts w:ascii="Bookman Old Style" w:hAnsi="Bookman Old Style" w:cs="Arial"/>
          <w:i/>
          <w:szCs w:val="24"/>
        </w:rPr>
        <w:t xml:space="preserve">“Encuentra la Corte que el Tribunal mal interpreta lo dicho por la Corporación, como quiera que si bien la jurisprudencia ha sostenido que el procesado y su defensor son sujetos procesales independientes y, como tales, tienen poder de postulación separado y que, en consecuencia, como normal general, aquél está obligado a sustentar el recurso por él interpuesto y, así mismo, que si ambos recurren el desistimiento del defensor no se hace extensivo a la impugnación formulada por el procesado, también ha señalado que para la sustentación éste no está atado, indefectiblemente, a la asesoría o coadyuvancia del representante judicial. “El procesado está, por disposición de la ley, obligado a sustentar el recurso por él interpuesto, y la ley no lo ata </w:t>
      </w:r>
      <w:r>
        <w:rPr>
          <w:rFonts w:ascii="Bookman Old Style" w:hAnsi="Bookman Old Style" w:cs="Arial"/>
          <w:i/>
          <w:szCs w:val="24"/>
          <w:u w:val="single"/>
        </w:rPr>
        <w:t>indefectiblemente</w:t>
      </w:r>
      <w:r>
        <w:rPr>
          <w:rFonts w:ascii="Bookman Old Style" w:hAnsi="Bookman Old Style" w:cs="Arial"/>
          <w:i/>
          <w:szCs w:val="24"/>
        </w:rPr>
        <w:t xml:space="preserve"> a depender para ella de la asesoría o coadyuvancia de su representante judicial”(auto de julio 7/99 </w:t>
      </w:r>
      <w:proofErr w:type="spellStart"/>
      <w:r>
        <w:rPr>
          <w:rFonts w:ascii="Bookman Old Style" w:hAnsi="Bookman Old Style" w:cs="Arial"/>
          <w:i/>
          <w:szCs w:val="24"/>
        </w:rPr>
        <w:t>Rdo</w:t>
      </w:r>
      <w:proofErr w:type="spellEnd"/>
      <w:r>
        <w:rPr>
          <w:rFonts w:ascii="Bookman Old Style" w:hAnsi="Bookman Old Style" w:cs="Arial"/>
          <w:i/>
          <w:szCs w:val="24"/>
        </w:rPr>
        <w:t xml:space="preserve"> 15.956).</w:t>
      </w:r>
    </w:p>
    <w:p w14:paraId="5D896ADC" w14:textId="77777777" w:rsidR="00D3489B" w:rsidRDefault="00D3489B" w:rsidP="00D3489B">
      <w:pPr>
        <w:ind w:left="1134"/>
        <w:jc w:val="both"/>
        <w:rPr>
          <w:rFonts w:ascii="Bookman Old Style" w:hAnsi="Bookman Old Style" w:cs="Arial"/>
          <w:i/>
          <w:szCs w:val="24"/>
        </w:rPr>
      </w:pPr>
    </w:p>
    <w:p w14:paraId="7BD56225" w14:textId="77777777" w:rsidR="00D3489B" w:rsidRDefault="00D3489B" w:rsidP="00D3489B">
      <w:pPr>
        <w:ind w:left="1134"/>
        <w:jc w:val="both"/>
        <w:rPr>
          <w:rFonts w:ascii="Bookman Old Style" w:hAnsi="Bookman Old Style" w:cs="Arial"/>
          <w:i/>
          <w:szCs w:val="24"/>
        </w:rPr>
      </w:pPr>
      <w:r>
        <w:rPr>
          <w:rFonts w:ascii="Bookman Old Style" w:hAnsi="Bookman Old Style" w:cs="Arial"/>
          <w:i/>
          <w:szCs w:val="24"/>
        </w:rPr>
        <w:t xml:space="preserve">En otros términos, que </w:t>
      </w:r>
      <w:r>
        <w:rPr>
          <w:rFonts w:ascii="Bookman Old Style" w:hAnsi="Bookman Old Style" w:cs="Arial"/>
          <w:b/>
          <w:i/>
          <w:szCs w:val="24"/>
        </w:rPr>
        <w:t>el recurso puede ser sustentado directamente por el procesado, por el defensor, o por ambos, lo que, por lo demás, corresponde a la esencia y razón de ser del contrato de mandato que se celebra, precisamente, para que el mandatario o apoderado actúe en nombre, representación y por cuanta del mandante o procesado”</w:t>
      </w:r>
    </w:p>
    <w:p w14:paraId="442318AE" w14:textId="77777777" w:rsidR="00D3489B" w:rsidRDefault="00D3489B" w:rsidP="00D3489B">
      <w:pPr>
        <w:ind w:left="709"/>
        <w:jc w:val="both"/>
        <w:rPr>
          <w:rFonts w:ascii="Bookman Old Style" w:hAnsi="Bookman Old Style" w:cs="Arial"/>
          <w:i/>
          <w:sz w:val="24"/>
          <w:szCs w:val="24"/>
        </w:rPr>
      </w:pPr>
    </w:p>
    <w:p w14:paraId="1176B324" w14:textId="77777777" w:rsidR="00D3489B" w:rsidRDefault="00D3489B" w:rsidP="00D3489B">
      <w:pPr>
        <w:widowControl w:val="0"/>
        <w:spacing w:before="240"/>
        <w:ind w:left="709"/>
        <w:jc w:val="both"/>
        <w:rPr>
          <w:rFonts w:ascii="Bookman Old Style" w:hAnsi="Bookman Old Style" w:cs="Arial"/>
          <w:i/>
          <w:sz w:val="24"/>
          <w:szCs w:val="24"/>
        </w:rPr>
      </w:pPr>
      <w:r>
        <w:rPr>
          <w:rFonts w:ascii="Bookman Old Style" w:hAnsi="Bookman Old Style" w:cs="Arial"/>
          <w:i/>
          <w:sz w:val="24"/>
          <w:szCs w:val="24"/>
        </w:rPr>
        <w:t xml:space="preserve">Con relación a la </w:t>
      </w:r>
      <w:r>
        <w:rPr>
          <w:rFonts w:ascii="Bookman Old Style" w:hAnsi="Bookman Old Style" w:cs="Arial"/>
          <w:b/>
          <w:i/>
          <w:sz w:val="24"/>
          <w:szCs w:val="24"/>
        </w:rPr>
        <w:t>unidad inseparable entre el procesado y el defensor para ejercer el derecho fundamental a la defensa</w:t>
      </w:r>
      <w:r>
        <w:rPr>
          <w:rFonts w:ascii="Bookman Old Style" w:hAnsi="Bookman Old Style" w:cs="Arial"/>
          <w:i/>
          <w:sz w:val="24"/>
          <w:szCs w:val="24"/>
        </w:rPr>
        <w:t>, se pronunció la Corte Constitucional en la sentencia T. 1137 de 2004:</w:t>
      </w:r>
    </w:p>
    <w:p w14:paraId="11C31D16" w14:textId="77777777" w:rsidR="00D3489B" w:rsidRDefault="00D3489B" w:rsidP="00D3489B">
      <w:pPr>
        <w:ind w:left="1134"/>
        <w:jc w:val="both"/>
        <w:rPr>
          <w:rFonts w:ascii="Bookman Old Style" w:hAnsi="Bookman Old Style" w:cs="Arial"/>
          <w:i/>
          <w:szCs w:val="24"/>
          <w:lang w:val="es-ES"/>
        </w:rPr>
      </w:pPr>
    </w:p>
    <w:p w14:paraId="053F8088" w14:textId="77777777" w:rsidR="00D3489B" w:rsidRDefault="00D3489B" w:rsidP="00D3489B">
      <w:pPr>
        <w:ind w:left="1134"/>
        <w:jc w:val="both"/>
        <w:rPr>
          <w:rFonts w:ascii="Bookman Old Style" w:hAnsi="Bookman Old Style" w:cs="Arial"/>
          <w:i/>
          <w:iCs/>
          <w:szCs w:val="24"/>
        </w:rPr>
      </w:pPr>
      <w:r>
        <w:rPr>
          <w:rFonts w:ascii="Bookman Old Style" w:hAnsi="Bookman Old Style" w:cs="Arial"/>
          <w:i/>
          <w:szCs w:val="24"/>
        </w:rPr>
        <w:lastRenderedPageBreak/>
        <w:t xml:space="preserve">“No obstante esta Corte consideró que </w:t>
      </w:r>
      <w:r>
        <w:rPr>
          <w:rFonts w:ascii="Bookman Old Style" w:hAnsi="Bookman Old Style" w:cs="Arial"/>
          <w:b/>
          <w:i/>
          <w:szCs w:val="24"/>
        </w:rPr>
        <w:t xml:space="preserve">el imputado y su defensor integran </w:t>
      </w:r>
      <w:r>
        <w:rPr>
          <w:rFonts w:ascii="Bookman Old Style" w:hAnsi="Bookman Old Style" w:cs="Arial"/>
          <w:b/>
          <w:i/>
          <w:iCs/>
          <w:szCs w:val="24"/>
        </w:rPr>
        <w:t>“una parte única articulada que desarrolla una actividad que se encamina a estructurar una defensa conjunta</w:t>
      </w:r>
      <w:r>
        <w:rPr>
          <w:rFonts w:ascii="Bookman Old Style" w:hAnsi="Bookman Old Style" w:cs="Arial"/>
          <w:i/>
          <w:iCs/>
          <w:szCs w:val="24"/>
        </w:rPr>
        <w:t>, con el fin de contrarrestar la acción punitiva estatal, haciendo uso del derecho de solicitar la práctica de pruebas, de contradecir las que se le opongan, de presentar alegatos, proponer incidentes e impugnar las decisiones que juzgue contraria a sus intereses, con las excepciones que prevé la ley procesal”.</w:t>
      </w:r>
    </w:p>
    <w:p w14:paraId="703282F9" w14:textId="77777777" w:rsidR="00D3489B" w:rsidRDefault="00D3489B" w:rsidP="00D3489B">
      <w:pPr>
        <w:ind w:left="1134"/>
        <w:jc w:val="both"/>
        <w:rPr>
          <w:rFonts w:ascii="Bookman Old Style" w:hAnsi="Bookman Old Style" w:cs="Arial"/>
          <w:i/>
          <w:szCs w:val="24"/>
        </w:rPr>
      </w:pPr>
    </w:p>
    <w:p w14:paraId="5CD772AE" w14:textId="77777777" w:rsidR="00D3489B" w:rsidRDefault="00D3489B" w:rsidP="00D3489B">
      <w:pPr>
        <w:tabs>
          <w:tab w:val="left" w:pos="709"/>
          <w:tab w:val="left" w:pos="5529"/>
          <w:tab w:val="left" w:pos="8820"/>
        </w:tabs>
        <w:ind w:left="1134"/>
        <w:jc w:val="both"/>
        <w:rPr>
          <w:rFonts w:ascii="Bookman Old Style" w:hAnsi="Bookman Old Style" w:cs="Arial"/>
          <w:i/>
          <w:szCs w:val="24"/>
        </w:rPr>
      </w:pPr>
      <w:r>
        <w:rPr>
          <w:rFonts w:ascii="Bookman Old Style" w:hAnsi="Bookman Old Style" w:cs="Arial"/>
          <w:i/>
          <w:szCs w:val="24"/>
        </w:rPr>
        <w:t xml:space="preserve">Ahora bien, en relación con este último punto, la Corte consideró pertinente reiterar lo decidido en sentencia C- 488 de 1996, proveído que distingue la labor del abogado defensor de quien es juzgado en ausencia, del papel que desarrolla el apoderado designado por el imputado que comparece al proceso, al igual que las actuaciones que no pueden ser delegadas ya sea por el imputado, como por el designado para representar su defensa. Señala la providencia en cita: </w:t>
      </w:r>
    </w:p>
    <w:p w14:paraId="50577086" w14:textId="77777777" w:rsidR="00D3489B" w:rsidRDefault="00D3489B" w:rsidP="00D3489B">
      <w:pPr>
        <w:tabs>
          <w:tab w:val="left" w:pos="709"/>
          <w:tab w:val="left" w:pos="5529"/>
        </w:tabs>
        <w:ind w:left="1134"/>
        <w:jc w:val="both"/>
        <w:rPr>
          <w:rFonts w:ascii="Bookman Old Style" w:hAnsi="Bookman Old Style" w:cs="Arial"/>
          <w:i/>
          <w:iCs/>
          <w:szCs w:val="24"/>
        </w:rPr>
      </w:pPr>
    </w:p>
    <w:p w14:paraId="4584B36C" w14:textId="77777777" w:rsidR="00D3489B" w:rsidRDefault="00D3489B" w:rsidP="00D3489B">
      <w:pPr>
        <w:tabs>
          <w:tab w:val="left" w:pos="709"/>
          <w:tab w:val="left" w:pos="5529"/>
          <w:tab w:val="left" w:pos="8820"/>
        </w:tabs>
        <w:ind w:left="1134"/>
        <w:jc w:val="both"/>
        <w:rPr>
          <w:rFonts w:ascii="Bookman Old Style" w:hAnsi="Bookman Old Style" w:cs="Arial"/>
          <w:i/>
          <w:iCs/>
          <w:szCs w:val="24"/>
        </w:rPr>
      </w:pPr>
      <w:r>
        <w:rPr>
          <w:rFonts w:ascii="Bookman Old Style" w:hAnsi="Bookman Old Style" w:cs="Arial"/>
          <w:i/>
          <w:iCs/>
          <w:szCs w:val="24"/>
        </w:rPr>
        <w:t xml:space="preserve">“Una de las formas de garantizar el debido proceso y, concretamente, el derecho de defensa del procesado es la contenida en el artículo 29 de la Carta, que le permite al sindicado la asistencia de un abogado escogido por él, o de oficio, durante la investigación y el juzgamiento. </w:t>
      </w:r>
      <w:r>
        <w:rPr>
          <w:rFonts w:ascii="Bookman Old Style" w:hAnsi="Bookman Old Style" w:cs="Arial"/>
          <w:b/>
          <w:i/>
          <w:iCs/>
          <w:szCs w:val="24"/>
        </w:rPr>
        <w:t>Cuando el sindicado está presente en el proceso penal, el derecho de defensa comprende la actividad concurrente de ambos sujetos procesales -el procesado y su defensor-,</w:t>
      </w:r>
      <w:r>
        <w:rPr>
          <w:rFonts w:ascii="Bookman Old Style" w:hAnsi="Bookman Old Style" w:cs="Arial"/>
          <w:i/>
          <w:iCs/>
          <w:szCs w:val="24"/>
        </w:rPr>
        <w:t xml:space="preserve"> </w:t>
      </w:r>
      <w:r>
        <w:rPr>
          <w:rFonts w:ascii="Bookman Old Style" w:hAnsi="Bookman Old Style" w:cs="Arial"/>
          <w:b/>
          <w:i/>
          <w:iCs/>
          <w:szCs w:val="24"/>
        </w:rPr>
        <w:t>quienes gozan de amplias facultades para oponerse eficazmente a la pretensión punitiva, solicitar pruebas, controvertir las que se alleguen, presentar alegaciones, interponer recursos, etc</w:t>
      </w:r>
      <w:r>
        <w:rPr>
          <w:rFonts w:ascii="Bookman Old Style" w:hAnsi="Bookman Old Style" w:cs="Arial"/>
          <w:i/>
          <w:iCs/>
          <w:szCs w:val="24"/>
        </w:rPr>
        <w:t>. El ejercicio de tales atribuciones no es, sin embargo, plenamente coincidente para ambos sujetos, pues en relación con algunas actuaciones, como la indagatoria, la confesión o la terminación anticipada del proceso, sólo el procesado puede ejercer en forma directa su derecho, aunque asistido por su defensor; en otras oportunidades prevalecen los criterios del defensor sobre los del procesado, esto sucede cuando existen peticiones contradictorias entre ambos sujetos procesales (art. 137 C.P.); y en relación con la sustentación del recurso de casación, la facultad del defensor es exclusiva (ibidem)”.</w:t>
      </w:r>
    </w:p>
    <w:p w14:paraId="0EE421E9" w14:textId="77777777" w:rsidR="00D3489B" w:rsidRDefault="00D3489B" w:rsidP="00D3489B">
      <w:pPr>
        <w:widowControl w:val="0"/>
        <w:spacing w:before="240"/>
        <w:ind w:left="1134"/>
        <w:jc w:val="both"/>
        <w:rPr>
          <w:rFonts w:ascii="Bookman Old Style" w:hAnsi="Bookman Old Style" w:cs="Arial"/>
          <w:i/>
          <w:szCs w:val="24"/>
        </w:rPr>
      </w:pPr>
      <w:r>
        <w:rPr>
          <w:rFonts w:ascii="Bookman Old Style" w:hAnsi="Bookman Old Style" w:cs="Arial"/>
          <w:i/>
          <w:szCs w:val="24"/>
        </w:rPr>
        <w:t xml:space="preserve">De conformidad con lo expuesto, es dable concluir que las autoridades judiciales o administrativas, no pueden desatender la sustentación del recurso de apelación, argumentando que fue el apoderado y no el representado quien impugnó la providencia que se controvierte, porque, salvo dictados expresos del legislador, debidamente justificados, los medios defensivos utilizados por las partes y los recursos interpuestos por sus apoderados, así se presenten separadamente, comportan la misma defensa.” </w:t>
      </w:r>
    </w:p>
    <w:p w14:paraId="60F59BCB" w14:textId="77777777" w:rsidR="00D3489B" w:rsidRDefault="00D3489B" w:rsidP="00D3489B">
      <w:pPr>
        <w:ind w:left="709"/>
        <w:jc w:val="both"/>
        <w:rPr>
          <w:rFonts w:ascii="Bookman Old Style" w:hAnsi="Bookman Old Style" w:cs="Arial"/>
          <w:i/>
          <w:sz w:val="24"/>
          <w:szCs w:val="24"/>
        </w:rPr>
      </w:pPr>
    </w:p>
    <w:p w14:paraId="4966A4C5" w14:textId="77777777" w:rsidR="00D3489B" w:rsidRDefault="00D3489B" w:rsidP="00D3489B">
      <w:pPr>
        <w:ind w:left="709"/>
        <w:jc w:val="both"/>
        <w:rPr>
          <w:rFonts w:ascii="Bookman Old Style" w:hAnsi="Bookman Old Style" w:cs="Arial"/>
          <w:i/>
          <w:sz w:val="24"/>
          <w:szCs w:val="24"/>
        </w:rPr>
      </w:pPr>
      <w:r>
        <w:rPr>
          <w:rFonts w:ascii="Bookman Old Style" w:hAnsi="Bookman Old Style" w:cs="Arial"/>
          <w:i/>
          <w:sz w:val="24"/>
          <w:szCs w:val="24"/>
        </w:rPr>
        <w:t xml:space="preserve">Esa perspectiva general de lo que como unidad representan el procesado y su defensor, conserva plena vigencia en sede de la sistemática acusatoria dispuesta por la </w:t>
      </w:r>
      <w:r>
        <w:rPr>
          <w:rFonts w:ascii="Bookman Old Style" w:hAnsi="Bookman Old Style" w:cs="Arial"/>
          <w:b/>
          <w:i/>
          <w:sz w:val="24"/>
          <w:szCs w:val="24"/>
        </w:rPr>
        <w:t>Ley 906 de 2004,</w:t>
      </w:r>
      <w:r>
        <w:rPr>
          <w:rFonts w:ascii="Bookman Old Style" w:hAnsi="Bookman Old Style" w:cs="Arial"/>
          <w:i/>
          <w:sz w:val="24"/>
          <w:szCs w:val="24"/>
        </w:rPr>
        <w:t xml:space="preserve"> aunque, desde luego, con algunas variaciones sobre aspectos </w:t>
      </w:r>
      <w:r>
        <w:rPr>
          <w:rFonts w:ascii="Bookman Old Style" w:hAnsi="Bookman Old Style" w:cs="Arial"/>
          <w:i/>
          <w:sz w:val="24"/>
          <w:szCs w:val="24"/>
        </w:rPr>
        <w:lastRenderedPageBreak/>
        <w:t>procedimentales puntuales, que en nada desdibujan la esencia de la figura.</w:t>
      </w:r>
    </w:p>
    <w:p w14:paraId="01CBF43C" w14:textId="77777777" w:rsidR="00D3489B" w:rsidRDefault="00D3489B" w:rsidP="00D3489B">
      <w:pPr>
        <w:ind w:left="709"/>
        <w:jc w:val="both"/>
        <w:rPr>
          <w:rFonts w:ascii="Bookman Old Style" w:hAnsi="Bookman Old Style" w:cs="Arial"/>
          <w:i/>
          <w:sz w:val="24"/>
          <w:szCs w:val="24"/>
        </w:rPr>
      </w:pPr>
    </w:p>
    <w:p w14:paraId="08654D09" w14:textId="77777777" w:rsidR="00D3489B" w:rsidRDefault="00D3489B" w:rsidP="00D3489B">
      <w:pPr>
        <w:ind w:left="709"/>
        <w:jc w:val="both"/>
        <w:rPr>
          <w:rFonts w:ascii="Bookman Old Style" w:hAnsi="Bookman Old Style" w:cs="Arial"/>
          <w:b/>
          <w:i/>
          <w:sz w:val="24"/>
          <w:szCs w:val="24"/>
        </w:rPr>
      </w:pPr>
      <w:r>
        <w:rPr>
          <w:rFonts w:ascii="Bookman Old Style" w:hAnsi="Bookman Old Style" w:cs="Arial"/>
          <w:i/>
          <w:sz w:val="24"/>
          <w:szCs w:val="24"/>
        </w:rPr>
        <w:t xml:space="preserve">Respecto de la defensa material, cabe decir, de ninguna manera la Constitución Política o la ley hacen depender ella de la intervención técnica de un defensor, sea este público o de confianza, pues, una somera revisión de las normas atinentes al caso, permite apreciar que </w:t>
      </w:r>
      <w:r>
        <w:rPr>
          <w:rFonts w:ascii="Bookman Old Style" w:hAnsi="Bookman Old Style" w:cs="Arial"/>
          <w:b/>
          <w:i/>
          <w:sz w:val="24"/>
          <w:szCs w:val="24"/>
        </w:rPr>
        <w:t>para el imputado o acusado existe una amplia gama de posibilidades de postulación e impugnación que, como se vio, se articulan o complementan la actividad del profesional del derecho encargado de asistirlo.</w:t>
      </w:r>
    </w:p>
    <w:p w14:paraId="3148FE55" w14:textId="77777777" w:rsidR="00D3489B" w:rsidRDefault="00D3489B" w:rsidP="00D3489B">
      <w:pPr>
        <w:ind w:left="709"/>
        <w:jc w:val="both"/>
        <w:rPr>
          <w:rFonts w:ascii="Bookman Old Style" w:hAnsi="Bookman Old Style" w:cs="Arial"/>
          <w:i/>
          <w:sz w:val="24"/>
          <w:szCs w:val="24"/>
        </w:rPr>
      </w:pPr>
    </w:p>
    <w:p w14:paraId="5851C5DB" w14:textId="77777777" w:rsidR="00D3489B" w:rsidRDefault="00D3489B" w:rsidP="00D3489B">
      <w:pPr>
        <w:ind w:left="709"/>
        <w:jc w:val="both"/>
        <w:rPr>
          <w:rFonts w:ascii="Bookman Old Style" w:hAnsi="Bookman Old Style" w:cs="Arial"/>
          <w:i/>
          <w:sz w:val="24"/>
          <w:szCs w:val="24"/>
        </w:rPr>
      </w:pPr>
      <w:r>
        <w:rPr>
          <w:rFonts w:ascii="Bookman Old Style" w:hAnsi="Bookman Old Style" w:cs="Arial"/>
          <w:i/>
          <w:sz w:val="24"/>
          <w:szCs w:val="24"/>
        </w:rPr>
        <w:t xml:space="preserve">Así, desde el mismo diseño constitucional se otorgan como derechos inherentes al sindicado los de (artículo 29 de la Carta Política): “…presentar pruebas y controvertir las que se alleguen en su contra; a impugnar la sentencia condenatoria y a no ser juzgado dos veces por el mismo hecho”.   </w:t>
      </w:r>
    </w:p>
    <w:p w14:paraId="54203BFC" w14:textId="77777777" w:rsidR="00D3489B" w:rsidRDefault="00D3489B" w:rsidP="00D3489B">
      <w:pPr>
        <w:ind w:left="709"/>
        <w:jc w:val="both"/>
        <w:rPr>
          <w:rFonts w:ascii="Bookman Old Style" w:hAnsi="Bookman Old Style" w:cs="Arial"/>
          <w:i/>
          <w:sz w:val="24"/>
          <w:szCs w:val="24"/>
        </w:rPr>
      </w:pPr>
    </w:p>
    <w:p w14:paraId="73AA1766" w14:textId="77777777" w:rsidR="00D3489B" w:rsidRDefault="00D3489B" w:rsidP="00D3489B">
      <w:pPr>
        <w:ind w:left="709"/>
        <w:jc w:val="both"/>
        <w:rPr>
          <w:rFonts w:ascii="Bookman Old Style" w:hAnsi="Bookman Old Style" w:cs="Arial"/>
          <w:i/>
          <w:sz w:val="24"/>
          <w:szCs w:val="24"/>
        </w:rPr>
      </w:pPr>
      <w:r>
        <w:rPr>
          <w:rFonts w:ascii="Bookman Old Style" w:hAnsi="Bookman Old Style" w:cs="Arial"/>
          <w:i/>
          <w:sz w:val="24"/>
          <w:szCs w:val="24"/>
        </w:rPr>
        <w:t xml:space="preserve">En desarrollo de ello, como facultades propias del imputado o acusado, sin requerir la mediación del defensor, el artículo 8° de la Ley 906 de 2004, reseña, entre otras. “… j) Solicitar, conocer y controvertir las pruebas; k) Tener un juicio público, oral, contradictorio, concentrado, imparcial, con inmediación de las pruebas y sin dilaciones injustificadas, en el cual pueda, si así lo desea, por sí mismo o por conducto de su defensor, interrogar en audiencia a los testigos de cargo y a obtener la comparecencia, de ser necesario, aun por medios coercitivos, de testigos o peritos que puedan arrojar luz sobre los hechos objeto de debate”. </w:t>
      </w:r>
    </w:p>
    <w:p w14:paraId="5F5090A0" w14:textId="77777777" w:rsidR="00D3489B" w:rsidRDefault="00D3489B" w:rsidP="00D3489B">
      <w:pPr>
        <w:ind w:left="709"/>
        <w:jc w:val="both"/>
        <w:rPr>
          <w:rFonts w:ascii="Bookman Old Style" w:hAnsi="Bookman Old Style" w:cs="Arial"/>
          <w:i/>
          <w:sz w:val="24"/>
          <w:szCs w:val="24"/>
        </w:rPr>
      </w:pPr>
    </w:p>
    <w:p w14:paraId="30C92B9C" w14:textId="77777777" w:rsidR="00D3489B" w:rsidRDefault="00D3489B" w:rsidP="00D3489B">
      <w:pPr>
        <w:ind w:left="709"/>
        <w:jc w:val="both"/>
        <w:rPr>
          <w:rFonts w:ascii="Bookman Old Style" w:hAnsi="Bookman Old Style" w:cs="Arial"/>
          <w:i/>
          <w:sz w:val="24"/>
          <w:szCs w:val="24"/>
        </w:rPr>
      </w:pPr>
      <w:r>
        <w:rPr>
          <w:rFonts w:ascii="Bookman Old Style" w:hAnsi="Bookman Old Style" w:cs="Arial"/>
          <w:i/>
          <w:sz w:val="24"/>
          <w:szCs w:val="24"/>
        </w:rPr>
        <w:t>A su turno, el artículo 130 de la Ley 906 de 2004, en cuanto atribuciones propias del imputado, reseña:</w:t>
      </w:r>
    </w:p>
    <w:p w14:paraId="309ABF36" w14:textId="77777777" w:rsidR="00D3489B" w:rsidRDefault="00D3489B" w:rsidP="00D3489B">
      <w:pPr>
        <w:ind w:left="709"/>
        <w:jc w:val="both"/>
        <w:rPr>
          <w:rFonts w:ascii="Bookman Old Style" w:hAnsi="Bookman Old Style" w:cs="Arial"/>
          <w:i/>
          <w:sz w:val="24"/>
          <w:szCs w:val="24"/>
        </w:rPr>
      </w:pPr>
    </w:p>
    <w:p w14:paraId="3BA655A8" w14:textId="77777777" w:rsidR="00D3489B" w:rsidRDefault="00D3489B" w:rsidP="00D3489B">
      <w:pPr>
        <w:ind w:left="1134"/>
        <w:jc w:val="both"/>
        <w:rPr>
          <w:rFonts w:ascii="Bookman Old Style" w:hAnsi="Bookman Old Style" w:cs="Arial"/>
          <w:i/>
          <w:szCs w:val="24"/>
        </w:rPr>
      </w:pPr>
      <w:r>
        <w:rPr>
          <w:rFonts w:ascii="Bookman Old Style" w:hAnsi="Bookman Old Style" w:cs="Arial"/>
          <w:i/>
          <w:szCs w:val="24"/>
        </w:rPr>
        <w:t>“Además de los derechos reconocidos en los Tratados Internacionales de Derechos Humanos  ratificados por Colombia y que forman parte del Bloque de Constitucionalidad, de la Constitución Política y de la ley, en especial de los previstos en el art. 8° de este código, el imputado o procesado, según el caso, dispondrá de las mismas atribuciones  asignadas a la defensa que resultan compatibles con su condición. En todo caso, de mediar conflicto entre las peticiones o actuaciones de la defensa con las del imputado o procesado prevalecen las de aquella.”</w:t>
      </w:r>
    </w:p>
    <w:p w14:paraId="7730DC1A" w14:textId="77777777" w:rsidR="00D3489B" w:rsidRDefault="00D3489B" w:rsidP="00D3489B">
      <w:pPr>
        <w:ind w:left="709"/>
        <w:jc w:val="both"/>
        <w:rPr>
          <w:rFonts w:ascii="Bookman Old Style" w:hAnsi="Bookman Old Style" w:cs="Arial"/>
          <w:i/>
          <w:sz w:val="24"/>
          <w:szCs w:val="24"/>
        </w:rPr>
      </w:pPr>
    </w:p>
    <w:p w14:paraId="2878DBFD" w14:textId="621357D1" w:rsidR="00D3489B" w:rsidRDefault="00D3489B" w:rsidP="00D3489B">
      <w:pPr>
        <w:ind w:left="709"/>
        <w:jc w:val="both"/>
        <w:rPr>
          <w:rFonts w:ascii="Bookman Old Style" w:hAnsi="Bookman Old Style" w:cs="Arial"/>
          <w:i/>
          <w:sz w:val="24"/>
          <w:szCs w:val="24"/>
        </w:rPr>
      </w:pPr>
      <w:r>
        <w:rPr>
          <w:rFonts w:ascii="Bookman Old Style" w:hAnsi="Bookman Old Style" w:cs="Arial"/>
          <w:i/>
          <w:sz w:val="24"/>
          <w:szCs w:val="24"/>
        </w:rPr>
        <w:t>Queda claro, entonces, que el imputado o acusado no solo conforma con su abogado una unidad defensiva, sino que posee bastante autonomía, en lo que al aspecto material compete, para hacer valer individualmente sus derechos.</w:t>
      </w:r>
    </w:p>
    <w:p w14:paraId="1B1CCD96" w14:textId="77777777" w:rsidR="00DD509B" w:rsidRDefault="00DD509B" w:rsidP="00D3489B">
      <w:pPr>
        <w:ind w:left="709"/>
        <w:jc w:val="both"/>
        <w:rPr>
          <w:rFonts w:ascii="Bookman Old Style" w:hAnsi="Bookman Old Style" w:cs="Arial"/>
          <w:i/>
          <w:sz w:val="24"/>
          <w:szCs w:val="24"/>
        </w:rPr>
      </w:pPr>
    </w:p>
    <w:p w14:paraId="1C0C536D" w14:textId="1FE9420F" w:rsidR="00DD509B" w:rsidRDefault="00DD509B" w:rsidP="00D3489B">
      <w:pPr>
        <w:ind w:left="709"/>
        <w:jc w:val="both"/>
        <w:rPr>
          <w:rFonts w:ascii="Bookman Old Style" w:hAnsi="Bookman Old Style" w:cs="Arial"/>
          <w:i/>
          <w:sz w:val="24"/>
          <w:szCs w:val="24"/>
        </w:rPr>
      </w:pPr>
    </w:p>
    <w:p w14:paraId="3F9C4D34" w14:textId="77777777" w:rsidR="00D3489B" w:rsidRDefault="00D3489B" w:rsidP="00D3489B">
      <w:pPr>
        <w:spacing w:line="360" w:lineRule="auto"/>
        <w:jc w:val="both"/>
        <w:rPr>
          <w:rFonts w:ascii="Bookman Old Style" w:eastAsia="Calibri" w:hAnsi="Bookman Old Style" w:cs="Arial"/>
          <w:b/>
          <w:i/>
          <w:sz w:val="28"/>
          <w:szCs w:val="28"/>
        </w:rPr>
      </w:pPr>
    </w:p>
    <w:p w14:paraId="6A4AAAFD" w14:textId="77777777" w:rsidR="00D3489B" w:rsidRDefault="00D3489B" w:rsidP="00D3489B">
      <w:pPr>
        <w:spacing w:line="360" w:lineRule="auto"/>
        <w:ind w:firstLine="709"/>
        <w:jc w:val="both"/>
        <w:rPr>
          <w:rFonts w:ascii="Bookman Old Style" w:eastAsia="Calibri" w:hAnsi="Bookman Old Style" w:cs="Arial"/>
          <w:b/>
          <w:i/>
          <w:sz w:val="28"/>
          <w:szCs w:val="28"/>
        </w:rPr>
      </w:pPr>
      <w:r>
        <w:rPr>
          <w:rFonts w:ascii="Bookman Old Style" w:eastAsia="Calibri" w:hAnsi="Bookman Old Style" w:cs="Arial"/>
          <w:b/>
          <w:i/>
          <w:sz w:val="28"/>
          <w:szCs w:val="28"/>
        </w:rPr>
        <w:lastRenderedPageBreak/>
        <w:t>Caso concreto</w:t>
      </w:r>
      <w:r>
        <w:rPr>
          <w:rFonts w:ascii="Bookman Old Style" w:eastAsia="Calibri" w:hAnsi="Bookman Old Style"/>
          <w:sz w:val="28"/>
          <w:szCs w:val="28"/>
        </w:rPr>
        <w:t> </w:t>
      </w:r>
    </w:p>
    <w:p w14:paraId="4D8EA9B7" w14:textId="77777777" w:rsidR="00D3489B" w:rsidRDefault="00D3489B" w:rsidP="00D3489B">
      <w:pPr>
        <w:spacing w:line="360" w:lineRule="auto"/>
        <w:ind w:firstLine="709"/>
        <w:jc w:val="both"/>
        <w:rPr>
          <w:rFonts w:ascii="Bookman Old Style" w:eastAsia="Calibri" w:hAnsi="Bookman Old Style"/>
          <w:sz w:val="28"/>
          <w:szCs w:val="28"/>
        </w:rPr>
      </w:pPr>
      <w:r>
        <w:rPr>
          <w:rFonts w:ascii="Bookman Old Style" w:eastAsia="Calibri" w:hAnsi="Bookman Old Style"/>
          <w:sz w:val="28"/>
          <w:szCs w:val="28"/>
        </w:rPr>
        <w:t> </w:t>
      </w:r>
    </w:p>
    <w:p w14:paraId="7511AA58" w14:textId="77777777" w:rsidR="00D3489B" w:rsidRDefault="00D3489B" w:rsidP="00D3489B">
      <w:pPr>
        <w:spacing w:line="360" w:lineRule="auto"/>
        <w:ind w:firstLine="709"/>
        <w:jc w:val="both"/>
        <w:rPr>
          <w:rFonts w:ascii="Bookman Old Style" w:eastAsia="Calibri" w:hAnsi="Bookman Old Style"/>
          <w:sz w:val="28"/>
          <w:szCs w:val="28"/>
        </w:rPr>
      </w:pPr>
      <w:r>
        <w:rPr>
          <w:rFonts w:ascii="Bookman Old Style" w:eastAsia="Calibri" w:hAnsi="Bookman Old Style"/>
          <w:sz w:val="28"/>
          <w:szCs w:val="28"/>
        </w:rPr>
        <w:t>En este asunto particular, de entrada la Sala encuentra que están satisfechos los presupuestos generales de la procedencia del amparo.</w:t>
      </w:r>
    </w:p>
    <w:p w14:paraId="41C0DC24" w14:textId="77777777" w:rsidR="00D3489B" w:rsidRDefault="00D3489B" w:rsidP="00D3489B">
      <w:pPr>
        <w:spacing w:line="360" w:lineRule="auto"/>
        <w:ind w:firstLine="709"/>
        <w:jc w:val="both"/>
        <w:rPr>
          <w:rFonts w:ascii="Bookman Old Style" w:eastAsia="Calibri" w:hAnsi="Bookman Old Style"/>
          <w:sz w:val="28"/>
          <w:szCs w:val="28"/>
        </w:rPr>
      </w:pPr>
    </w:p>
    <w:p w14:paraId="1ECA39C1" w14:textId="16EE8D30" w:rsidR="00D3489B" w:rsidRDefault="00D3489B" w:rsidP="00D3489B">
      <w:pPr>
        <w:spacing w:line="360" w:lineRule="auto"/>
        <w:ind w:firstLine="709"/>
        <w:jc w:val="both"/>
        <w:rPr>
          <w:rFonts w:ascii="Bookman Old Style" w:eastAsia="Calibri" w:hAnsi="Bookman Old Style"/>
          <w:sz w:val="28"/>
          <w:szCs w:val="28"/>
        </w:rPr>
      </w:pPr>
      <w:r>
        <w:rPr>
          <w:rFonts w:ascii="Bookman Old Style" w:eastAsia="Calibri" w:hAnsi="Bookman Old Style"/>
          <w:sz w:val="28"/>
          <w:szCs w:val="28"/>
        </w:rPr>
        <w:t>Como primera medida, resulta incuestionable que se está frente a un asunto de relevancia constitucional, pues </w:t>
      </w:r>
      <w:r w:rsidR="00DC779E" w:rsidRPr="00D3489B">
        <w:rPr>
          <w:rFonts w:ascii="Bookman Old Style" w:eastAsia="Calibri" w:hAnsi="Bookman Old Style"/>
          <w:b/>
          <w:sz w:val="28"/>
          <w:szCs w:val="28"/>
        </w:rPr>
        <w:t>Fernán</w:t>
      </w:r>
      <w:r w:rsidRPr="00D3489B">
        <w:rPr>
          <w:rFonts w:ascii="Bookman Old Style" w:eastAsia="Calibri" w:hAnsi="Bookman Old Style"/>
          <w:b/>
          <w:sz w:val="28"/>
          <w:szCs w:val="28"/>
        </w:rPr>
        <w:t xml:space="preserve"> Ortega Baquero</w:t>
      </w:r>
      <w:r>
        <w:rPr>
          <w:rFonts w:ascii="Bookman Old Style" w:eastAsia="Calibri" w:hAnsi="Bookman Old Style"/>
          <w:b/>
          <w:sz w:val="28"/>
          <w:szCs w:val="28"/>
        </w:rPr>
        <w:t xml:space="preserve"> </w:t>
      </w:r>
      <w:r>
        <w:rPr>
          <w:rFonts w:ascii="Bookman Old Style" w:eastAsia="Calibri" w:hAnsi="Bookman Old Style"/>
          <w:sz w:val="28"/>
          <w:szCs w:val="28"/>
        </w:rPr>
        <w:t>alega la vulneración al derecho fundamental al debido proceso y acceso a la administración de justicia por parte del Juzgado accionado. </w:t>
      </w:r>
    </w:p>
    <w:p w14:paraId="4F167170" w14:textId="77777777" w:rsidR="00D3489B" w:rsidRDefault="00D3489B" w:rsidP="00D3489B">
      <w:pPr>
        <w:spacing w:line="360" w:lineRule="auto"/>
        <w:ind w:firstLine="709"/>
        <w:jc w:val="both"/>
        <w:rPr>
          <w:rFonts w:ascii="Bookman Old Style" w:eastAsia="Calibri" w:hAnsi="Bookman Old Style"/>
          <w:sz w:val="28"/>
          <w:szCs w:val="28"/>
        </w:rPr>
      </w:pPr>
      <w:r>
        <w:rPr>
          <w:rFonts w:ascii="Bookman Old Style" w:eastAsia="Calibri" w:hAnsi="Bookman Old Style"/>
          <w:sz w:val="28"/>
          <w:szCs w:val="28"/>
        </w:rPr>
        <w:t> </w:t>
      </w:r>
    </w:p>
    <w:p w14:paraId="2B0AA4BD" w14:textId="7EF393CB" w:rsidR="00D3489B" w:rsidRDefault="00D3489B" w:rsidP="00D3489B">
      <w:pPr>
        <w:spacing w:line="360" w:lineRule="auto"/>
        <w:ind w:firstLine="709"/>
        <w:jc w:val="both"/>
        <w:rPr>
          <w:rFonts w:ascii="Bookman Old Style" w:eastAsia="Calibri" w:hAnsi="Bookman Old Style"/>
          <w:sz w:val="28"/>
          <w:szCs w:val="28"/>
        </w:rPr>
      </w:pPr>
      <w:r>
        <w:rPr>
          <w:rFonts w:ascii="Bookman Old Style" w:eastAsia="Calibri" w:hAnsi="Bookman Old Style"/>
          <w:sz w:val="28"/>
          <w:szCs w:val="28"/>
        </w:rPr>
        <w:t xml:space="preserve">Se corrobora que el actor no cuenta con otro medio de defensa distinto al de la acción de tutela, toda vez que fue enterado de la sentencia condenatoria </w:t>
      </w:r>
      <w:r w:rsidR="00A93D1E">
        <w:rPr>
          <w:rFonts w:ascii="Bookman Old Style" w:eastAsia="Calibri" w:hAnsi="Bookman Old Style"/>
          <w:sz w:val="28"/>
          <w:szCs w:val="28"/>
        </w:rPr>
        <w:t xml:space="preserve">recientemente </w:t>
      </w:r>
      <w:r>
        <w:rPr>
          <w:rFonts w:ascii="Bookman Old Style" w:eastAsia="Calibri" w:hAnsi="Bookman Old Style"/>
          <w:sz w:val="28"/>
          <w:szCs w:val="28"/>
        </w:rPr>
        <w:t>hasta el momento de su captura</w:t>
      </w:r>
      <w:r w:rsidR="00A93D1E">
        <w:rPr>
          <w:rFonts w:ascii="Bookman Old Style" w:eastAsia="Calibri" w:hAnsi="Bookman Old Style"/>
          <w:sz w:val="28"/>
          <w:szCs w:val="28"/>
        </w:rPr>
        <w:t xml:space="preserve"> sin que</w:t>
      </w:r>
      <w:r>
        <w:rPr>
          <w:rFonts w:ascii="Bookman Old Style" w:eastAsia="Calibri" w:hAnsi="Bookman Old Style"/>
          <w:sz w:val="28"/>
          <w:szCs w:val="28"/>
        </w:rPr>
        <w:t xml:space="preserve"> </w:t>
      </w:r>
      <w:r w:rsidR="00A93D1E">
        <w:rPr>
          <w:rFonts w:ascii="Bookman Old Style" w:eastAsia="Calibri" w:hAnsi="Bookman Old Style"/>
          <w:sz w:val="28"/>
          <w:szCs w:val="28"/>
        </w:rPr>
        <w:t>esa circunstancia -de la cual no se tiene evidencia- fuera desmentida por las autoridades implicadas.</w:t>
      </w:r>
      <w:r w:rsidR="00A93D1E" w:rsidRPr="00A93D1E">
        <w:rPr>
          <w:rFonts w:ascii="Bookman Old Style" w:eastAsia="Calibri" w:hAnsi="Bookman Old Style"/>
          <w:sz w:val="28"/>
          <w:szCs w:val="28"/>
        </w:rPr>
        <w:t xml:space="preserve"> </w:t>
      </w:r>
      <w:r w:rsidR="00A93D1E">
        <w:rPr>
          <w:rFonts w:ascii="Bookman Old Style" w:eastAsia="Calibri" w:hAnsi="Bookman Old Style"/>
          <w:sz w:val="28"/>
          <w:szCs w:val="28"/>
        </w:rPr>
        <w:t>Por ello es que también se encuentra satisfecho el principio de inmediatez.</w:t>
      </w:r>
    </w:p>
    <w:p w14:paraId="248A6E2A" w14:textId="6B6CE185" w:rsidR="004B2F3D" w:rsidRDefault="00D3489B" w:rsidP="00BA0F8C">
      <w:pPr>
        <w:spacing w:line="360" w:lineRule="auto"/>
        <w:ind w:firstLine="709"/>
        <w:jc w:val="both"/>
        <w:rPr>
          <w:rFonts w:ascii="Bookman Old Style" w:eastAsia="Calibri" w:hAnsi="Bookman Old Style"/>
          <w:sz w:val="28"/>
          <w:szCs w:val="28"/>
        </w:rPr>
      </w:pPr>
      <w:r>
        <w:rPr>
          <w:rFonts w:ascii="Bookman Old Style" w:eastAsia="Calibri" w:hAnsi="Bookman Old Style"/>
          <w:sz w:val="28"/>
          <w:szCs w:val="28"/>
        </w:rPr>
        <w:t>  </w:t>
      </w:r>
    </w:p>
    <w:p w14:paraId="6A63F675" w14:textId="43D8F0EF" w:rsidR="00D3489B" w:rsidRDefault="004B2F3D" w:rsidP="004B2F3D">
      <w:pPr>
        <w:spacing w:line="360" w:lineRule="auto"/>
        <w:ind w:firstLine="705"/>
        <w:jc w:val="both"/>
        <w:rPr>
          <w:rFonts w:ascii="Bookman Old Style" w:eastAsia="Calibri" w:hAnsi="Bookman Old Style"/>
          <w:sz w:val="28"/>
          <w:szCs w:val="28"/>
        </w:rPr>
      </w:pPr>
      <w:r>
        <w:rPr>
          <w:rFonts w:ascii="Bookman Old Style" w:eastAsia="Calibri" w:hAnsi="Bookman Old Style"/>
          <w:sz w:val="28"/>
          <w:szCs w:val="28"/>
        </w:rPr>
        <w:t>En todo caso, aunque no se tuviera certeza de la fecha de la captura y, con ello, la superación o no de los anteriores requisitos, se torna necesario superar tales exigencias ante la evidente vulneración de los derechos a la defensa y debido proceso del actor.</w:t>
      </w:r>
    </w:p>
    <w:p w14:paraId="749FE659" w14:textId="77777777" w:rsidR="00006F6F" w:rsidRDefault="00006F6F" w:rsidP="004B2F3D">
      <w:pPr>
        <w:spacing w:line="360" w:lineRule="auto"/>
        <w:ind w:firstLine="705"/>
        <w:jc w:val="both"/>
        <w:rPr>
          <w:rFonts w:ascii="Bookman Old Style" w:eastAsia="Calibri" w:hAnsi="Bookman Old Style"/>
          <w:sz w:val="28"/>
          <w:szCs w:val="28"/>
        </w:rPr>
      </w:pPr>
    </w:p>
    <w:p w14:paraId="0651FA3D" w14:textId="77777777" w:rsidR="00B7710F" w:rsidRDefault="00D3489B" w:rsidP="00D3489B">
      <w:pPr>
        <w:spacing w:line="360" w:lineRule="auto"/>
        <w:ind w:firstLine="709"/>
        <w:jc w:val="both"/>
        <w:rPr>
          <w:rFonts w:ascii="Bookman Old Style" w:eastAsia="Calibri" w:hAnsi="Bookman Old Style"/>
          <w:sz w:val="28"/>
          <w:szCs w:val="28"/>
        </w:rPr>
      </w:pPr>
      <w:r>
        <w:rPr>
          <w:rFonts w:ascii="Bookman Old Style" w:eastAsia="Calibri" w:hAnsi="Bookman Old Style"/>
          <w:sz w:val="28"/>
          <w:szCs w:val="28"/>
        </w:rPr>
        <w:t xml:space="preserve">A juicio del libelista, el </w:t>
      </w:r>
      <w:r w:rsidR="00A93D1E">
        <w:rPr>
          <w:rFonts w:ascii="Bookman Old Style" w:eastAsia="Calibri" w:hAnsi="Bookman Old Style"/>
          <w:sz w:val="28"/>
          <w:szCs w:val="28"/>
        </w:rPr>
        <w:t>Juzgado</w:t>
      </w:r>
      <w:r>
        <w:rPr>
          <w:rFonts w:ascii="Bookman Old Style" w:eastAsia="Calibri" w:hAnsi="Bookman Old Style"/>
          <w:sz w:val="28"/>
          <w:szCs w:val="28"/>
        </w:rPr>
        <w:t xml:space="preserve"> accionado no citó</w:t>
      </w:r>
      <w:r w:rsidR="00006F6F">
        <w:rPr>
          <w:rFonts w:ascii="Bookman Old Style" w:eastAsia="Calibri" w:hAnsi="Bookman Old Style"/>
          <w:sz w:val="28"/>
          <w:szCs w:val="28"/>
        </w:rPr>
        <w:t xml:space="preserve"> efectivamente</w:t>
      </w:r>
      <w:r>
        <w:rPr>
          <w:rFonts w:ascii="Bookman Old Style" w:eastAsia="Calibri" w:hAnsi="Bookman Old Style"/>
          <w:sz w:val="28"/>
          <w:szCs w:val="28"/>
        </w:rPr>
        <w:t xml:space="preserve"> al procesado a la diligencia </w:t>
      </w:r>
      <w:r w:rsidR="00A93D1E">
        <w:rPr>
          <w:rFonts w:ascii="Bookman Old Style" w:eastAsia="Calibri" w:hAnsi="Bookman Old Style"/>
          <w:sz w:val="28"/>
          <w:szCs w:val="28"/>
        </w:rPr>
        <w:t xml:space="preserve">de 26 de </w:t>
      </w:r>
      <w:r w:rsidR="00A93D1E">
        <w:rPr>
          <w:rFonts w:ascii="Bookman Old Style" w:eastAsia="Calibri" w:hAnsi="Bookman Old Style"/>
          <w:sz w:val="28"/>
          <w:szCs w:val="28"/>
        </w:rPr>
        <w:lastRenderedPageBreak/>
        <w:t xml:space="preserve">septiembre de 2019, </w:t>
      </w:r>
      <w:r w:rsidR="00006F6F">
        <w:rPr>
          <w:rFonts w:ascii="Bookman Old Style" w:eastAsia="Calibri" w:hAnsi="Bookman Old Style"/>
          <w:sz w:val="28"/>
          <w:szCs w:val="28"/>
        </w:rPr>
        <w:t>cuyo objeto era la individualización de la pena y en la que se dictó</w:t>
      </w:r>
      <w:r w:rsidR="00A93D1E">
        <w:rPr>
          <w:rFonts w:ascii="Bookman Old Style" w:eastAsia="Calibri" w:hAnsi="Bookman Old Style"/>
          <w:sz w:val="28"/>
          <w:szCs w:val="28"/>
        </w:rPr>
        <w:t xml:space="preserve"> sentencia condenatori</w:t>
      </w:r>
      <w:r w:rsidR="004B2F3D">
        <w:rPr>
          <w:rFonts w:ascii="Bookman Old Style" w:eastAsia="Calibri" w:hAnsi="Bookman Old Style"/>
          <w:sz w:val="28"/>
          <w:szCs w:val="28"/>
        </w:rPr>
        <w:t>a</w:t>
      </w:r>
      <w:r>
        <w:rPr>
          <w:rFonts w:ascii="Bookman Old Style" w:eastAsia="Calibri" w:hAnsi="Bookman Old Style"/>
          <w:sz w:val="28"/>
          <w:szCs w:val="28"/>
        </w:rPr>
        <w:t xml:space="preserve">. </w:t>
      </w:r>
    </w:p>
    <w:p w14:paraId="30D3F090" w14:textId="77777777" w:rsidR="00B7710F" w:rsidRDefault="00B7710F" w:rsidP="00D3489B">
      <w:pPr>
        <w:spacing w:line="360" w:lineRule="auto"/>
        <w:ind w:firstLine="709"/>
        <w:jc w:val="both"/>
        <w:rPr>
          <w:rFonts w:ascii="Bookman Old Style" w:eastAsia="Calibri" w:hAnsi="Bookman Old Style"/>
          <w:sz w:val="28"/>
          <w:szCs w:val="28"/>
        </w:rPr>
      </w:pPr>
    </w:p>
    <w:p w14:paraId="714D12EC" w14:textId="33DB49CC" w:rsidR="00BA0F8C" w:rsidRDefault="00A93D1E" w:rsidP="00D3489B">
      <w:pPr>
        <w:spacing w:line="360" w:lineRule="auto"/>
        <w:ind w:firstLine="709"/>
        <w:jc w:val="both"/>
        <w:rPr>
          <w:rFonts w:ascii="Bookman Old Style" w:eastAsia="Calibri" w:hAnsi="Bookman Old Style"/>
          <w:sz w:val="28"/>
          <w:szCs w:val="28"/>
        </w:rPr>
      </w:pPr>
      <w:r>
        <w:rPr>
          <w:rFonts w:ascii="Bookman Old Style" w:eastAsia="Calibri" w:hAnsi="Bookman Old Style"/>
          <w:sz w:val="28"/>
          <w:szCs w:val="28"/>
        </w:rPr>
        <w:t xml:space="preserve">Pues bien, sobre ese aspecto puntual, se verifica que </w:t>
      </w:r>
      <w:r w:rsidR="00BA0F8C">
        <w:rPr>
          <w:rFonts w:ascii="Bookman Old Style" w:eastAsia="Calibri" w:hAnsi="Bookman Old Style"/>
          <w:sz w:val="28"/>
          <w:szCs w:val="28"/>
        </w:rPr>
        <w:t>el actor acudió a</w:t>
      </w:r>
      <w:r w:rsidR="00B7710F">
        <w:rPr>
          <w:rFonts w:ascii="Bookman Old Style" w:eastAsia="Calibri" w:hAnsi="Bookman Old Style"/>
          <w:sz w:val="28"/>
          <w:szCs w:val="28"/>
        </w:rPr>
        <w:t xml:space="preserve"> los albores de</w:t>
      </w:r>
      <w:r w:rsidR="00BA0F8C">
        <w:rPr>
          <w:rFonts w:ascii="Bookman Old Style" w:eastAsia="Calibri" w:hAnsi="Bookman Old Style"/>
          <w:sz w:val="28"/>
          <w:szCs w:val="28"/>
        </w:rPr>
        <w:t>l proceso</w:t>
      </w:r>
      <w:r w:rsidR="00B7710F">
        <w:rPr>
          <w:rFonts w:ascii="Bookman Old Style" w:eastAsia="Calibri" w:hAnsi="Bookman Old Style"/>
          <w:sz w:val="28"/>
          <w:szCs w:val="28"/>
        </w:rPr>
        <w:t xml:space="preserve"> penal</w:t>
      </w:r>
      <w:r w:rsidR="00BA0F8C">
        <w:rPr>
          <w:rFonts w:ascii="Bookman Old Style" w:eastAsia="Calibri" w:hAnsi="Bookman Old Style"/>
          <w:sz w:val="28"/>
          <w:szCs w:val="28"/>
        </w:rPr>
        <w:t xml:space="preserve"> hasta el punto que el 29 de octubre de 2018, asistió a la audiencia de </w:t>
      </w:r>
      <w:r w:rsidR="00E44E94">
        <w:rPr>
          <w:rFonts w:ascii="Bookman Old Style" w:eastAsia="Calibri" w:hAnsi="Bookman Old Style"/>
          <w:sz w:val="28"/>
          <w:szCs w:val="28"/>
        </w:rPr>
        <w:t>verificación de preacuerdo, a la cual fue citado conforme se aportó en los anexos de la demanda de tutela, con constancias de la empresa postal 4-7</w:t>
      </w:r>
      <w:r w:rsidR="00B7710F">
        <w:rPr>
          <w:rFonts w:ascii="Bookman Old Style" w:eastAsia="Calibri" w:hAnsi="Bookman Old Style"/>
          <w:sz w:val="28"/>
          <w:szCs w:val="28"/>
        </w:rPr>
        <w:t>2, dirigidas a su domicilio</w:t>
      </w:r>
      <w:r w:rsidR="00E44E94">
        <w:rPr>
          <w:rFonts w:ascii="Bookman Old Style" w:eastAsia="Calibri" w:hAnsi="Bookman Old Style"/>
          <w:sz w:val="28"/>
          <w:szCs w:val="28"/>
        </w:rPr>
        <w:t>.</w:t>
      </w:r>
    </w:p>
    <w:p w14:paraId="30666CD5" w14:textId="6469E20C" w:rsidR="00E44E94" w:rsidRDefault="00E44E94" w:rsidP="00D3489B">
      <w:pPr>
        <w:spacing w:line="360" w:lineRule="auto"/>
        <w:ind w:firstLine="709"/>
        <w:jc w:val="both"/>
        <w:rPr>
          <w:rFonts w:ascii="Bookman Old Style" w:eastAsia="Calibri" w:hAnsi="Bookman Old Style"/>
          <w:sz w:val="28"/>
          <w:szCs w:val="28"/>
        </w:rPr>
      </w:pPr>
    </w:p>
    <w:p w14:paraId="4D11C8D1" w14:textId="0B0B20C9" w:rsidR="00E44E94" w:rsidRDefault="00E44E94" w:rsidP="00D3489B">
      <w:pPr>
        <w:spacing w:line="360" w:lineRule="auto"/>
        <w:ind w:firstLine="709"/>
        <w:jc w:val="both"/>
        <w:rPr>
          <w:rFonts w:ascii="Bookman Old Style" w:eastAsia="Calibri" w:hAnsi="Bookman Old Style"/>
          <w:sz w:val="28"/>
          <w:szCs w:val="28"/>
        </w:rPr>
      </w:pPr>
      <w:r w:rsidRPr="0021103C">
        <w:rPr>
          <w:rFonts w:ascii="Bookman Old Style" w:eastAsia="Calibri" w:hAnsi="Bookman Old Style"/>
          <w:sz w:val="28"/>
          <w:szCs w:val="28"/>
        </w:rPr>
        <w:t xml:space="preserve">No obstante, desde esa fecha </w:t>
      </w:r>
      <w:r w:rsidR="00DC5C37" w:rsidRPr="0021103C">
        <w:rPr>
          <w:rFonts w:ascii="Bookman Old Style" w:eastAsia="Calibri" w:hAnsi="Bookman Old Style"/>
          <w:sz w:val="28"/>
          <w:szCs w:val="28"/>
        </w:rPr>
        <w:t xml:space="preserve">hasta la audiencia de individualización de pena y lectura de sentencia trascurrieron </w:t>
      </w:r>
      <w:r w:rsidR="007969FF" w:rsidRPr="0021103C">
        <w:rPr>
          <w:rFonts w:ascii="Bookman Old Style" w:eastAsia="Calibri" w:hAnsi="Bookman Old Style"/>
          <w:sz w:val="28"/>
          <w:szCs w:val="28"/>
        </w:rPr>
        <w:t>10 meses y 25 días, en los que varió el método de comunicación a las diligencias</w:t>
      </w:r>
      <w:r w:rsidR="00235CB3" w:rsidRPr="0021103C">
        <w:rPr>
          <w:rFonts w:ascii="Bookman Old Style" w:eastAsia="Calibri" w:hAnsi="Bookman Old Style"/>
          <w:sz w:val="28"/>
          <w:szCs w:val="28"/>
        </w:rPr>
        <w:t xml:space="preserve"> y, con ello,</w:t>
      </w:r>
      <w:r w:rsidR="00691250" w:rsidRPr="0021103C">
        <w:rPr>
          <w:rFonts w:ascii="Bookman Old Style" w:eastAsia="Calibri" w:hAnsi="Bookman Old Style"/>
          <w:sz w:val="28"/>
          <w:szCs w:val="28"/>
        </w:rPr>
        <w:t xml:space="preserve"> </w:t>
      </w:r>
      <w:r w:rsidR="00235CB3" w:rsidRPr="0021103C">
        <w:rPr>
          <w:rFonts w:ascii="Bookman Old Style" w:eastAsia="Calibri" w:hAnsi="Bookman Old Style"/>
          <w:sz w:val="28"/>
          <w:szCs w:val="28"/>
        </w:rPr>
        <w:t>su eficacia</w:t>
      </w:r>
      <w:r w:rsidR="00691250" w:rsidRPr="0021103C">
        <w:rPr>
          <w:rFonts w:ascii="Bookman Old Style" w:eastAsia="Calibri" w:hAnsi="Bookman Old Style"/>
          <w:sz w:val="28"/>
          <w:szCs w:val="28"/>
        </w:rPr>
        <w:t xml:space="preserve">. </w:t>
      </w:r>
      <w:r w:rsidR="00272D00" w:rsidRPr="0021103C">
        <w:rPr>
          <w:rFonts w:ascii="Bookman Old Style" w:eastAsia="Calibri" w:hAnsi="Bookman Old Style"/>
          <w:sz w:val="28"/>
          <w:szCs w:val="28"/>
        </w:rPr>
        <w:t xml:space="preserve">En ese lapso, se citó </w:t>
      </w:r>
      <w:r w:rsidR="00B7710F" w:rsidRPr="0021103C">
        <w:rPr>
          <w:rFonts w:ascii="Bookman Old Style" w:eastAsia="Calibri" w:hAnsi="Bookman Old Style"/>
          <w:sz w:val="28"/>
          <w:szCs w:val="28"/>
        </w:rPr>
        <w:t>para el</w:t>
      </w:r>
      <w:r w:rsidR="00272D00" w:rsidRPr="0021103C">
        <w:rPr>
          <w:rFonts w:ascii="Bookman Old Style" w:eastAsia="Calibri" w:hAnsi="Bookman Old Style"/>
          <w:sz w:val="28"/>
          <w:szCs w:val="28"/>
        </w:rPr>
        <w:t xml:space="preserve"> 5 de diciembre de 2018, 14 de marzo, 3 de mayo, 7</w:t>
      </w:r>
      <w:r w:rsidR="0018312F" w:rsidRPr="0021103C">
        <w:rPr>
          <w:rFonts w:ascii="Bookman Old Style" w:eastAsia="Calibri" w:hAnsi="Bookman Old Style"/>
          <w:sz w:val="28"/>
          <w:szCs w:val="28"/>
        </w:rPr>
        <w:t xml:space="preserve"> y</w:t>
      </w:r>
      <w:r w:rsidR="00C606D4" w:rsidRPr="0021103C">
        <w:rPr>
          <w:rFonts w:ascii="Bookman Old Style" w:eastAsia="Calibri" w:hAnsi="Bookman Old Style"/>
          <w:sz w:val="28"/>
          <w:szCs w:val="28"/>
        </w:rPr>
        <w:t xml:space="preserve"> </w:t>
      </w:r>
      <w:r w:rsidR="00272D00" w:rsidRPr="0021103C">
        <w:rPr>
          <w:rFonts w:ascii="Bookman Old Style" w:eastAsia="Calibri" w:hAnsi="Bookman Old Style"/>
          <w:sz w:val="28"/>
          <w:szCs w:val="28"/>
        </w:rPr>
        <w:t>17 de junio, 23 de julio</w:t>
      </w:r>
      <w:r w:rsidR="0018312F" w:rsidRPr="0021103C">
        <w:rPr>
          <w:rFonts w:ascii="Bookman Old Style" w:eastAsia="Calibri" w:hAnsi="Bookman Old Style"/>
          <w:sz w:val="28"/>
          <w:szCs w:val="28"/>
        </w:rPr>
        <w:t>, 13 y 26 de septiembre de 2019,</w:t>
      </w:r>
      <w:r w:rsidR="00C606D4" w:rsidRPr="0021103C">
        <w:rPr>
          <w:rFonts w:ascii="Bookman Old Style" w:eastAsia="Calibri" w:hAnsi="Bookman Old Style"/>
          <w:sz w:val="28"/>
          <w:szCs w:val="28"/>
        </w:rPr>
        <w:t xml:space="preserve"> todas fracasadas </w:t>
      </w:r>
      <w:r w:rsidR="00C606D4" w:rsidRPr="0021103C">
        <w:rPr>
          <w:rFonts w:ascii="Bookman Old Style" w:eastAsia="Calibri" w:hAnsi="Bookman Old Style"/>
          <w:i/>
          <w:iCs/>
          <w:sz w:val="24"/>
          <w:szCs w:val="24"/>
        </w:rPr>
        <w:t>-a excepción de la última-</w:t>
      </w:r>
      <w:r w:rsidR="0018312F" w:rsidRPr="0021103C">
        <w:rPr>
          <w:rFonts w:ascii="Bookman Old Style" w:eastAsia="Calibri" w:hAnsi="Bookman Old Style"/>
          <w:sz w:val="28"/>
          <w:szCs w:val="28"/>
        </w:rPr>
        <w:t xml:space="preserve"> cuyo común denominador fue la ausencia del procesado</w:t>
      </w:r>
      <w:r w:rsidR="001E1BB1" w:rsidRPr="0021103C">
        <w:rPr>
          <w:rFonts w:ascii="Bookman Old Style" w:eastAsia="Calibri" w:hAnsi="Bookman Old Style"/>
          <w:sz w:val="28"/>
          <w:szCs w:val="28"/>
        </w:rPr>
        <w:t xml:space="preserve"> y en las cuales </w:t>
      </w:r>
      <w:r w:rsidR="00C81C0B" w:rsidRPr="0021103C">
        <w:rPr>
          <w:rFonts w:ascii="Bookman Old Style" w:eastAsia="Calibri" w:hAnsi="Bookman Old Style"/>
          <w:i/>
          <w:iCs/>
          <w:sz w:val="24"/>
          <w:szCs w:val="24"/>
        </w:rPr>
        <w:t>–</w:t>
      </w:r>
      <w:r w:rsidR="00E207D0" w:rsidRPr="0021103C">
        <w:rPr>
          <w:rFonts w:ascii="Bookman Old Style" w:eastAsia="Calibri" w:hAnsi="Bookman Old Style"/>
          <w:i/>
          <w:iCs/>
          <w:sz w:val="24"/>
          <w:szCs w:val="24"/>
        </w:rPr>
        <w:t>sin perjuicio</w:t>
      </w:r>
      <w:r w:rsidR="00C81C0B" w:rsidRPr="0021103C">
        <w:rPr>
          <w:rFonts w:ascii="Bookman Old Style" w:eastAsia="Calibri" w:hAnsi="Bookman Old Style"/>
          <w:i/>
          <w:iCs/>
          <w:sz w:val="24"/>
          <w:szCs w:val="24"/>
        </w:rPr>
        <w:t xml:space="preserve"> de la primera que fue notificada por estrado</w:t>
      </w:r>
      <w:r w:rsidR="00323965" w:rsidRPr="0021103C">
        <w:rPr>
          <w:rFonts w:ascii="Bookman Old Style" w:eastAsia="Calibri" w:hAnsi="Bookman Old Style"/>
          <w:i/>
          <w:iCs/>
          <w:sz w:val="24"/>
          <w:szCs w:val="24"/>
        </w:rPr>
        <w:t>s</w:t>
      </w:r>
      <w:r w:rsidR="00C81C0B" w:rsidRPr="0021103C">
        <w:rPr>
          <w:rFonts w:ascii="Bookman Old Style" w:eastAsia="Calibri" w:hAnsi="Bookman Old Style"/>
          <w:i/>
          <w:iCs/>
          <w:sz w:val="24"/>
          <w:szCs w:val="24"/>
        </w:rPr>
        <w:t>-</w:t>
      </w:r>
      <w:r w:rsidR="00C81C0B" w:rsidRPr="0021103C">
        <w:rPr>
          <w:rFonts w:ascii="Bookman Old Style" w:eastAsia="Calibri" w:hAnsi="Bookman Old Style"/>
          <w:sz w:val="28"/>
          <w:szCs w:val="28"/>
        </w:rPr>
        <w:t xml:space="preserve"> </w:t>
      </w:r>
      <w:r w:rsidR="001E1BB1" w:rsidRPr="0021103C">
        <w:rPr>
          <w:rFonts w:ascii="Bookman Old Style" w:eastAsia="Calibri" w:hAnsi="Bookman Old Style"/>
          <w:sz w:val="28"/>
          <w:szCs w:val="28"/>
        </w:rPr>
        <w:t xml:space="preserve">ya no se registró </w:t>
      </w:r>
      <w:r w:rsidR="00482DED" w:rsidRPr="0021103C">
        <w:rPr>
          <w:rFonts w:ascii="Bookman Old Style" w:eastAsia="Calibri" w:hAnsi="Bookman Old Style"/>
          <w:sz w:val="28"/>
          <w:szCs w:val="28"/>
        </w:rPr>
        <w:t xml:space="preserve">oficio ni </w:t>
      </w:r>
      <w:r w:rsidR="001E1BB1" w:rsidRPr="0021103C">
        <w:rPr>
          <w:rFonts w:ascii="Bookman Old Style" w:eastAsia="Calibri" w:hAnsi="Bookman Old Style"/>
          <w:sz w:val="28"/>
          <w:szCs w:val="28"/>
        </w:rPr>
        <w:t xml:space="preserve">sello de </w:t>
      </w:r>
      <w:r w:rsidR="00DE117D" w:rsidRPr="0021103C">
        <w:rPr>
          <w:rFonts w:ascii="Bookman Old Style" w:eastAsia="Calibri" w:hAnsi="Bookman Old Style"/>
          <w:sz w:val="28"/>
          <w:szCs w:val="28"/>
        </w:rPr>
        <w:t>comunicación</w:t>
      </w:r>
      <w:r w:rsidR="001E1BB1" w:rsidRPr="0021103C">
        <w:rPr>
          <w:rFonts w:ascii="Bookman Old Style" w:eastAsia="Calibri" w:hAnsi="Bookman Old Style"/>
          <w:sz w:val="28"/>
          <w:szCs w:val="28"/>
        </w:rPr>
        <w:t xml:space="preserve"> alguno ni mucho menos la guía de la empresa de correos 4-72, que había sido efectiva hasta entonces para el enteramiento de </w:t>
      </w:r>
      <w:r w:rsidR="00C606D4" w:rsidRPr="0021103C">
        <w:rPr>
          <w:rFonts w:ascii="Bookman Old Style" w:eastAsia="Calibri" w:hAnsi="Bookman Old Style"/>
          <w:sz w:val="28"/>
          <w:szCs w:val="28"/>
        </w:rPr>
        <w:t>del implicado</w:t>
      </w:r>
      <w:r w:rsidR="001E1BB1" w:rsidRPr="0021103C">
        <w:rPr>
          <w:rFonts w:ascii="Bookman Old Style" w:eastAsia="Calibri" w:hAnsi="Bookman Old Style"/>
          <w:sz w:val="28"/>
          <w:szCs w:val="28"/>
        </w:rPr>
        <w:t>.</w:t>
      </w:r>
      <w:r w:rsidR="0018312F">
        <w:rPr>
          <w:rFonts w:ascii="Bookman Old Style" w:eastAsia="Calibri" w:hAnsi="Bookman Old Style"/>
          <w:sz w:val="28"/>
          <w:szCs w:val="28"/>
        </w:rPr>
        <w:t xml:space="preserve"> </w:t>
      </w:r>
    </w:p>
    <w:p w14:paraId="7224621A" w14:textId="77777777" w:rsidR="00BA0F8C" w:rsidRDefault="00BA0F8C" w:rsidP="0021103C">
      <w:pPr>
        <w:spacing w:line="360" w:lineRule="auto"/>
        <w:jc w:val="both"/>
        <w:rPr>
          <w:rFonts w:ascii="Bookman Old Style" w:eastAsia="Calibri" w:hAnsi="Bookman Old Style"/>
          <w:sz w:val="28"/>
          <w:szCs w:val="28"/>
        </w:rPr>
      </w:pPr>
    </w:p>
    <w:p w14:paraId="06B9FF9F" w14:textId="792C708A" w:rsidR="00A93D1E" w:rsidRDefault="00C606D4" w:rsidP="00D3489B">
      <w:pPr>
        <w:spacing w:line="360" w:lineRule="auto"/>
        <w:ind w:firstLine="709"/>
        <w:jc w:val="both"/>
        <w:rPr>
          <w:rFonts w:ascii="Bookman Old Style" w:eastAsia="Calibri" w:hAnsi="Bookman Old Style"/>
          <w:sz w:val="28"/>
          <w:szCs w:val="28"/>
        </w:rPr>
      </w:pPr>
      <w:r>
        <w:rPr>
          <w:rFonts w:ascii="Bookman Old Style" w:eastAsia="Calibri" w:hAnsi="Bookman Old Style"/>
          <w:sz w:val="28"/>
          <w:szCs w:val="28"/>
        </w:rPr>
        <w:t xml:space="preserve">Además de esa situación, </w:t>
      </w:r>
      <w:r w:rsidR="00A93D1E">
        <w:rPr>
          <w:rFonts w:ascii="Bookman Old Style" w:eastAsia="Calibri" w:hAnsi="Bookman Old Style"/>
          <w:sz w:val="28"/>
          <w:szCs w:val="28"/>
        </w:rPr>
        <w:t xml:space="preserve">en el acta que recoge lo ocurrido </w:t>
      </w:r>
      <w:r w:rsidR="002F0F94">
        <w:rPr>
          <w:rFonts w:ascii="Bookman Old Style" w:eastAsia="Calibri" w:hAnsi="Bookman Old Style"/>
          <w:sz w:val="28"/>
          <w:szCs w:val="28"/>
        </w:rPr>
        <w:t>el</w:t>
      </w:r>
      <w:r>
        <w:rPr>
          <w:rFonts w:ascii="Bookman Old Style" w:eastAsia="Calibri" w:hAnsi="Bookman Old Style"/>
          <w:sz w:val="28"/>
          <w:szCs w:val="28"/>
        </w:rPr>
        <w:t xml:space="preserve"> 26 de septiembre de 2019</w:t>
      </w:r>
      <w:r w:rsidR="002F0F94">
        <w:rPr>
          <w:rFonts w:ascii="Bookman Old Style" w:eastAsia="Calibri" w:hAnsi="Bookman Old Style"/>
          <w:sz w:val="28"/>
          <w:szCs w:val="28"/>
        </w:rPr>
        <w:t xml:space="preserve"> </w:t>
      </w:r>
      <w:r w:rsidR="002F0F94" w:rsidRPr="002F0F94">
        <w:rPr>
          <w:rFonts w:ascii="Bookman Old Style" w:eastAsia="Calibri" w:hAnsi="Bookman Old Style"/>
          <w:i/>
          <w:iCs/>
          <w:sz w:val="24"/>
          <w:szCs w:val="24"/>
        </w:rPr>
        <w:t>-de individualización de pena y lectura de sentencia-</w:t>
      </w:r>
      <w:r w:rsidR="00A93D1E">
        <w:rPr>
          <w:rFonts w:ascii="Bookman Old Style" w:eastAsia="Calibri" w:hAnsi="Bookman Old Style"/>
          <w:sz w:val="28"/>
          <w:szCs w:val="28"/>
        </w:rPr>
        <w:t xml:space="preserve">, se dejó expresamente consignado </w:t>
      </w:r>
      <w:r w:rsidR="00A93D1E">
        <w:rPr>
          <w:rFonts w:ascii="Bookman Old Style" w:eastAsia="Calibri" w:hAnsi="Bookman Old Style"/>
          <w:sz w:val="28"/>
          <w:szCs w:val="28"/>
        </w:rPr>
        <w:lastRenderedPageBreak/>
        <w:t xml:space="preserve">que: </w:t>
      </w:r>
      <w:r w:rsidR="00A93D1E" w:rsidRPr="00A93D1E">
        <w:rPr>
          <w:rFonts w:ascii="Bookman Old Style" w:eastAsia="Calibri" w:hAnsi="Bookman Old Style"/>
          <w:i/>
          <w:iCs/>
          <w:sz w:val="28"/>
          <w:szCs w:val="28"/>
        </w:rPr>
        <w:t>la defensa informa que se comunicó vía telefónica con la mamá del acusado informando de la realización de la audiencia</w:t>
      </w:r>
      <w:r w:rsidR="00A93D1E">
        <w:rPr>
          <w:rFonts w:ascii="Bookman Old Style" w:eastAsia="Calibri" w:hAnsi="Bookman Old Style"/>
          <w:sz w:val="28"/>
          <w:szCs w:val="28"/>
        </w:rPr>
        <w:t>.</w:t>
      </w:r>
    </w:p>
    <w:p w14:paraId="3DE7D560" w14:textId="77777777" w:rsidR="00A93D1E" w:rsidRDefault="00A93D1E" w:rsidP="00560B72">
      <w:pPr>
        <w:spacing w:line="360" w:lineRule="auto"/>
        <w:jc w:val="both"/>
        <w:rPr>
          <w:rFonts w:ascii="Bookman Old Style" w:eastAsia="Calibri" w:hAnsi="Bookman Old Style"/>
          <w:sz w:val="28"/>
          <w:szCs w:val="28"/>
        </w:rPr>
      </w:pPr>
    </w:p>
    <w:p w14:paraId="32D1E7C3" w14:textId="38E649A8" w:rsidR="00560B72" w:rsidRDefault="00A93D1E" w:rsidP="00D3489B">
      <w:pPr>
        <w:spacing w:line="360" w:lineRule="auto"/>
        <w:ind w:firstLine="709"/>
        <w:jc w:val="both"/>
        <w:rPr>
          <w:rFonts w:ascii="Bookman Old Style" w:eastAsia="Calibri" w:hAnsi="Bookman Old Style"/>
          <w:sz w:val="28"/>
          <w:szCs w:val="28"/>
        </w:rPr>
      </w:pPr>
      <w:r>
        <w:rPr>
          <w:rFonts w:ascii="Bookman Old Style" w:eastAsia="Calibri" w:hAnsi="Bookman Old Style"/>
          <w:sz w:val="28"/>
          <w:szCs w:val="28"/>
        </w:rPr>
        <w:t xml:space="preserve">De lo destacado se infiere que, en efecto, el procesado no fue citado eficazmente a la </w:t>
      </w:r>
      <w:r w:rsidR="00560B72">
        <w:rPr>
          <w:rFonts w:ascii="Bookman Old Style" w:eastAsia="Calibri" w:hAnsi="Bookman Old Style"/>
          <w:sz w:val="28"/>
          <w:szCs w:val="28"/>
        </w:rPr>
        <w:t>audiencia</w:t>
      </w:r>
      <w:r>
        <w:rPr>
          <w:rFonts w:ascii="Bookman Old Style" w:eastAsia="Calibri" w:hAnsi="Bookman Old Style"/>
          <w:sz w:val="28"/>
          <w:szCs w:val="28"/>
        </w:rPr>
        <w:t xml:space="preserve">, pues </w:t>
      </w:r>
      <w:r w:rsidR="00D3489B">
        <w:rPr>
          <w:rFonts w:ascii="Bookman Old Style" w:eastAsia="Calibri" w:hAnsi="Bookman Old Style"/>
          <w:sz w:val="28"/>
          <w:szCs w:val="28"/>
        </w:rPr>
        <w:t xml:space="preserve">el método utilizado fue </w:t>
      </w:r>
      <w:r>
        <w:rPr>
          <w:rFonts w:ascii="Bookman Old Style" w:eastAsia="Calibri" w:hAnsi="Bookman Old Style"/>
          <w:sz w:val="28"/>
          <w:szCs w:val="28"/>
        </w:rPr>
        <w:t>corroborar que su defensa haya cumplido con esa carga</w:t>
      </w:r>
      <w:r w:rsidR="00560B72">
        <w:rPr>
          <w:rFonts w:ascii="Bookman Old Style" w:eastAsia="Calibri" w:hAnsi="Bookman Old Style"/>
          <w:sz w:val="28"/>
          <w:szCs w:val="28"/>
        </w:rPr>
        <w:t>, sin que se tuviera certeza de que el destinatario del mensaje lo hubiera recibido.</w:t>
      </w:r>
    </w:p>
    <w:p w14:paraId="6C1F144A" w14:textId="77777777" w:rsidR="00560B72" w:rsidRDefault="00560B72" w:rsidP="00D3489B">
      <w:pPr>
        <w:spacing w:line="360" w:lineRule="auto"/>
        <w:ind w:firstLine="709"/>
        <w:jc w:val="both"/>
        <w:rPr>
          <w:rFonts w:ascii="Bookman Old Style" w:eastAsia="Calibri" w:hAnsi="Bookman Old Style"/>
          <w:sz w:val="28"/>
          <w:szCs w:val="28"/>
        </w:rPr>
      </w:pPr>
    </w:p>
    <w:p w14:paraId="5433F03A" w14:textId="0E45D754" w:rsidR="00A93D1E" w:rsidRDefault="00560B72" w:rsidP="00D3489B">
      <w:pPr>
        <w:spacing w:line="360" w:lineRule="auto"/>
        <w:ind w:firstLine="709"/>
        <w:jc w:val="both"/>
        <w:rPr>
          <w:rFonts w:ascii="Bookman Old Style" w:eastAsia="Calibri" w:hAnsi="Bookman Old Style"/>
          <w:sz w:val="28"/>
          <w:szCs w:val="28"/>
        </w:rPr>
      </w:pPr>
      <w:r>
        <w:rPr>
          <w:rFonts w:ascii="Bookman Old Style" w:eastAsia="Calibri" w:hAnsi="Bookman Old Style"/>
          <w:sz w:val="28"/>
          <w:szCs w:val="28"/>
        </w:rPr>
        <w:t xml:space="preserve">Lo anterior, aunado al silencio de las autoridades sobre ese punto en específico, impide </w:t>
      </w:r>
      <w:r w:rsidR="00A93D1E">
        <w:rPr>
          <w:rFonts w:ascii="Bookman Old Style" w:eastAsia="Calibri" w:hAnsi="Bookman Old Style"/>
          <w:sz w:val="28"/>
          <w:szCs w:val="28"/>
        </w:rPr>
        <w:t>dar por satisfecho el enteramiento</w:t>
      </w:r>
      <w:r w:rsidR="0046607C">
        <w:rPr>
          <w:rFonts w:ascii="Bookman Old Style" w:eastAsia="Calibri" w:hAnsi="Bookman Old Style"/>
          <w:sz w:val="28"/>
          <w:szCs w:val="28"/>
        </w:rPr>
        <w:t xml:space="preserve">, en la medida que el juzgado de conocimiento pasó de un medio eficaz a una estrategia </w:t>
      </w:r>
      <w:r w:rsidR="002F0F94">
        <w:rPr>
          <w:rFonts w:ascii="Bookman Old Style" w:eastAsia="Calibri" w:hAnsi="Bookman Old Style"/>
          <w:sz w:val="28"/>
          <w:szCs w:val="28"/>
        </w:rPr>
        <w:t>menor</w:t>
      </w:r>
      <w:r w:rsidR="00A93D1E">
        <w:rPr>
          <w:rFonts w:ascii="Bookman Old Style" w:eastAsia="Calibri" w:hAnsi="Bookman Old Style"/>
          <w:sz w:val="28"/>
          <w:szCs w:val="28"/>
        </w:rPr>
        <w:t xml:space="preserve"> de cara a la efectividad que debe predicarse de ese acto secretarial.</w:t>
      </w:r>
    </w:p>
    <w:p w14:paraId="6B19900B" w14:textId="4EB7F141" w:rsidR="00542D9E" w:rsidRDefault="00542D9E" w:rsidP="00D3489B">
      <w:pPr>
        <w:spacing w:line="360" w:lineRule="auto"/>
        <w:ind w:firstLine="709"/>
        <w:jc w:val="both"/>
        <w:rPr>
          <w:rFonts w:ascii="Bookman Old Style" w:eastAsia="Calibri" w:hAnsi="Bookman Old Style"/>
          <w:sz w:val="28"/>
          <w:szCs w:val="28"/>
        </w:rPr>
      </w:pPr>
    </w:p>
    <w:p w14:paraId="01AF1CD0" w14:textId="4B80E276" w:rsidR="00542D9E" w:rsidRDefault="00542D9E" w:rsidP="00D3489B">
      <w:pPr>
        <w:spacing w:line="360" w:lineRule="auto"/>
        <w:ind w:firstLine="709"/>
        <w:jc w:val="both"/>
        <w:rPr>
          <w:rFonts w:ascii="Bookman Old Style" w:eastAsia="Calibri" w:hAnsi="Bookman Old Style"/>
          <w:sz w:val="28"/>
          <w:szCs w:val="28"/>
        </w:rPr>
      </w:pPr>
      <w:r>
        <w:rPr>
          <w:rFonts w:ascii="Bookman Old Style" w:eastAsia="Calibri" w:hAnsi="Bookman Old Style"/>
          <w:sz w:val="28"/>
          <w:szCs w:val="28"/>
        </w:rPr>
        <w:t>Y es que</w:t>
      </w:r>
      <w:r w:rsidR="00104C52">
        <w:rPr>
          <w:rFonts w:ascii="Bookman Old Style" w:eastAsia="Calibri" w:hAnsi="Bookman Old Style"/>
          <w:sz w:val="28"/>
          <w:szCs w:val="28"/>
        </w:rPr>
        <w:t>,</w:t>
      </w:r>
      <w:r w:rsidR="00CE35B0">
        <w:rPr>
          <w:rFonts w:ascii="Bookman Old Style" w:eastAsia="Calibri" w:hAnsi="Bookman Old Style"/>
          <w:sz w:val="28"/>
          <w:szCs w:val="28"/>
        </w:rPr>
        <w:t xml:space="preserve"> en </w:t>
      </w:r>
      <w:r w:rsidR="00104C52">
        <w:rPr>
          <w:rFonts w:ascii="Bookman Old Style" w:eastAsia="Calibri" w:hAnsi="Bookman Old Style"/>
          <w:sz w:val="28"/>
          <w:szCs w:val="28"/>
        </w:rPr>
        <w:t>lo tocante</w:t>
      </w:r>
      <w:r w:rsidR="00CE35B0">
        <w:rPr>
          <w:rFonts w:ascii="Bookman Old Style" w:eastAsia="Calibri" w:hAnsi="Bookman Old Style"/>
          <w:sz w:val="28"/>
          <w:szCs w:val="28"/>
        </w:rPr>
        <w:t xml:space="preserve"> a la comunicación </w:t>
      </w:r>
      <w:r w:rsidR="00104C52">
        <w:rPr>
          <w:rFonts w:ascii="Bookman Old Style" w:eastAsia="Calibri" w:hAnsi="Bookman Old Style"/>
          <w:sz w:val="28"/>
          <w:szCs w:val="28"/>
        </w:rPr>
        <w:t>al</w:t>
      </w:r>
      <w:r w:rsidR="00CE35B0">
        <w:rPr>
          <w:rFonts w:ascii="Bookman Old Style" w:eastAsia="Calibri" w:hAnsi="Bookman Old Style"/>
          <w:sz w:val="28"/>
          <w:szCs w:val="28"/>
        </w:rPr>
        <w:t xml:space="preserve"> proceso penal, se impone verificar cada caso en particular, </w:t>
      </w:r>
      <w:r w:rsidR="00104C52">
        <w:rPr>
          <w:rFonts w:ascii="Bookman Old Style" w:eastAsia="Calibri" w:hAnsi="Bookman Old Style"/>
          <w:sz w:val="28"/>
          <w:szCs w:val="28"/>
        </w:rPr>
        <w:t xml:space="preserve">en aras de ponderar si el eventual vicio se sobrepone o no a la carga del procesado de estar al tanto de la actuación, </w:t>
      </w:r>
      <w:r w:rsidR="00CE35B0">
        <w:rPr>
          <w:rFonts w:ascii="Bookman Old Style" w:eastAsia="Calibri" w:hAnsi="Bookman Old Style"/>
          <w:sz w:val="28"/>
          <w:szCs w:val="28"/>
        </w:rPr>
        <w:t xml:space="preserve">pues en ocasiones prevalece </w:t>
      </w:r>
      <w:r w:rsidR="00104C52">
        <w:rPr>
          <w:rFonts w:ascii="Bookman Old Style" w:eastAsia="Calibri" w:hAnsi="Bookman Old Style"/>
          <w:sz w:val="28"/>
          <w:szCs w:val="28"/>
        </w:rPr>
        <w:t>esa obligación</w:t>
      </w:r>
      <w:r>
        <w:rPr>
          <w:rFonts w:ascii="Bookman Old Style" w:eastAsia="Calibri" w:hAnsi="Bookman Old Style"/>
          <w:sz w:val="28"/>
          <w:szCs w:val="28"/>
        </w:rPr>
        <w:t xml:space="preserve">, </w:t>
      </w:r>
      <w:r w:rsidR="00CE35B0">
        <w:rPr>
          <w:rFonts w:ascii="Bookman Old Style" w:eastAsia="Calibri" w:hAnsi="Bookman Old Style"/>
          <w:sz w:val="28"/>
          <w:szCs w:val="28"/>
        </w:rPr>
        <w:t xml:space="preserve">máxime cuando </w:t>
      </w:r>
      <w:r>
        <w:rPr>
          <w:rFonts w:ascii="Bookman Old Style" w:eastAsia="Calibri" w:hAnsi="Bookman Old Style"/>
          <w:sz w:val="28"/>
          <w:szCs w:val="28"/>
        </w:rPr>
        <w:t xml:space="preserve">se advierte una actitud renuente </w:t>
      </w:r>
      <w:r w:rsidR="00CE35B0">
        <w:rPr>
          <w:rFonts w:ascii="Bookman Old Style" w:eastAsia="Calibri" w:hAnsi="Bookman Old Style"/>
          <w:sz w:val="28"/>
          <w:szCs w:val="28"/>
        </w:rPr>
        <w:t xml:space="preserve">del acusado, con </w:t>
      </w:r>
      <w:r>
        <w:rPr>
          <w:rFonts w:ascii="Bookman Old Style" w:eastAsia="Calibri" w:hAnsi="Bookman Old Style"/>
          <w:sz w:val="28"/>
          <w:szCs w:val="28"/>
        </w:rPr>
        <w:t xml:space="preserve">amplio desinterés </w:t>
      </w:r>
      <w:r w:rsidR="00CE35B0">
        <w:rPr>
          <w:rFonts w:ascii="Bookman Old Style" w:eastAsia="Calibri" w:hAnsi="Bookman Old Style"/>
          <w:sz w:val="28"/>
          <w:szCs w:val="28"/>
        </w:rPr>
        <w:t>en el trámite, del cual</w:t>
      </w:r>
      <w:r>
        <w:rPr>
          <w:rFonts w:ascii="Bookman Old Style" w:eastAsia="Calibri" w:hAnsi="Bookman Old Style"/>
          <w:sz w:val="28"/>
          <w:szCs w:val="28"/>
        </w:rPr>
        <w:t xml:space="preserve"> no podría posteriormente sacar réditos</w:t>
      </w:r>
      <w:r w:rsidR="00104C52">
        <w:rPr>
          <w:rFonts w:ascii="Bookman Old Style" w:eastAsia="Calibri" w:hAnsi="Bookman Old Style"/>
          <w:sz w:val="28"/>
          <w:szCs w:val="28"/>
        </w:rPr>
        <w:t>;</w:t>
      </w:r>
      <w:r w:rsidR="00CE35B0">
        <w:rPr>
          <w:rFonts w:ascii="Bookman Old Style" w:eastAsia="Calibri" w:hAnsi="Bookman Old Style"/>
          <w:sz w:val="28"/>
          <w:szCs w:val="28"/>
        </w:rPr>
        <w:t xml:space="preserve"> sin embargo, en esta </w:t>
      </w:r>
      <w:r w:rsidR="00104C52">
        <w:rPr>
          <w:rFonts w:ascii="Bookman Old Style" w:eastAsia="Calibri" w:hAnsi="Bookman Old Style"/>
          <w:sz w:val="28"/>
          <w:szCs w:val="28"/>
        </w:rPr>
        <w:t>oportunidad</w:t>
      </w:r>
      <w:r w:rsidR="00B66814">
        <w:rPr>
          <w:rFonts w:ascii="Bookman Old Style" w:eastAsia="Calibri" w:hAnsi="Bookman Old Style"/>
          <w:sz w:val="28"/>
          <w:szCs w:val="28"/>
        </w:rPr>
        <w:t xml:space="preserve"> no</w:t>
      </w:r>
      <w:r w:rsidR="00CE35B0">
        <w:rPr>
          <w:rFonts w:ascii="Bookman Old Style" w:eastAsia="Calibri" w:hAnsi="Bookman Old Style"/>
          <w:sz w:val="28"/>
          <w:szCs w:val="28"/>
        </w:rPr>
        <w:t xml:space="preserve"> se verifica</w:t>
      </w:r>
      <w:r w:rsidR="00B66814">
        <w:rPr>
          <w:rFonts w:ascii="Bookman Old Style" w:eastAsia="Calibri" w:hAnsi="Bookman Old Style"/>
          <w:sz w:val="28"/>
          <w:szCs w:val="28"/>
        </w:rPr>
        <w:t xml:space="preserve"> esa actitud omisiva, por el contrario, se advierte</w:t>
      </w:r>
      <w:r w:rsidR="00CE35B0">
        <w:rPr>
          <w:rFonts w:ascii="Bookman Old Style" w:eastAsia="Calibri" w:hAnsi="Bookman Old Style"/>
          <w:sz w:val="28"/>
          <w:szCs w:val="28"/>
        </w:rPr>
        <w:t xml:space="preserve"> un </w:t>
      </w:r>
      <w:r w:rsidR="00B66814">
        <w:rPr>
          <w:rFonts w:ascii="Bookman Old Style" w:eastAsia="Calibri" w:hAnsi="Bookman Old Style"/>
          <w:sz w:val="28"/>
          <w:szCs w:val="28"/>
        </w:rPr>
        <w:t xml:space="preserve">encausado interesado en asistir al proceso, con intervención activa, sólo que, desde el último acto procesal al que asistió, datado 29 de octubre de 2018, hasta el 26 de septiembre de </w:t>
      </w:r>
      <w:r w:rsidR="00B66814">
        <w:rPr>
          <w:rFonts w:ascii="Bookman Old Style" w:eastAsia="Calibri" w:hAnsi="Bookman Old Style"/>
          <w:sz w:val="28"/>
          <w:szCs w:val="28"/>
        </w:rPr>
        <w:lastRenderedPageBreak/>
        <w:t xml:space="preserve">2019, </w:t>
      </w:r>
      <w:r w:rsidR="00E82151">
        <w:rPr>
          <w:rFonts w:ascii="Bookman Old Style" w:eastAsia="Calibri" w:hAnsi="Bookman Old Style"/>
          <w:sz w:val="28"/>
          <w:szCs w:val="28"/>
        </w:rPr>
        <w:t>se</w:t>
      </w:r>
      <w:r w:rsidR="00B66814">
        <w:rPr>
          <w:rFonts w:ascii="Bookman Old Style" w:eastAsia="Calibri" w:hAnsi="Bookman Old Style"/>
          <w:sz w:val="28"/>
          <w:szCs w:val="28"/>
        </w:rPr>
        <w:t xml:space="preserve"> </w:t>
      </w:r>
      <w:r w:rsidR="00E82151">
        <w:rPr>
          <w:rFonts w:ascii="Bookman Old Style" w:eastAsia="Calibri" w:hAnsi="Bookman Old Style"/>
          <w:sz w:val="28"/>
          <w:szCs w:val="28"/>
        </w:rPr>
        <w:t>programaron más de 7 diligencias, en las que no sólo se varió el medio de comunicación sino que, en últimas</w:t>
      </w:r>
      <w:r w:rsidR="00326DDC">
        <w:rPr>
          <w:rFonts w:ascii="Bookman Old Style" w:eastAsia="Calibri" w:hAnsi="Bookman Old Style"/>
          <w:sz w:val="28"/>
          <w:szCs w:val="28"/>
        </w:rPr>
        <w:t>,</w:t>
      </w:r>
      <w:r w:rsidR="00E82151">
        <w:rPr>
          <w:rFonts w:ascii="Bookman Old Style" w:eastAsia="Calibri" w:hAnsi="Bookman Old Style"/>
          <w:sz w:val="28"/>
          <w:szCs w:val="28"/>
        </w:rPr>
        <w:t xml:space="preserve"> expresamente se terminó dando por satisfecha esa carga, con la aseveración del abogado de enterar a la madre del acusado</w:t>
      </w:r>
      <w:r w:rsidR="00326DDC">
        <w:rPr>
          <w:rFonts w:ascii="Bookman Old Style" w:eastAsia="Calibri" w:hAnsi="Bookman Old Style"/>
          <w:sz w:val="28"/>
          <w:szCs w:val="28"/>
        </w:rPr>
        <w:t>.</w:t>
      </w:r>
      <w:r w:rsidR="00E82151">
        <w:rPr>
          <w:rFonts w:ascii="Bookman Old Style" w:eastAsia="Calibri" w:hAnsi="Bookman Old Style"/>
          <w:sz w:val="28"/>
          <w:szCs w:val="28"/>
        </w:rPr>
        <w:t xml:space="preserve"> </w:t>
      </w:r>
    </w:p>
    <w:p w14:paraId="57A9F78D" w14:textId="77777777" w:rsidR="00D3489B" w:rsidRDefault="00D3489B" w:rsidP="009D4CCD">
      <w:pPr>
        <w:spacing w:line="360" w:lineRule="auto"/>
        <w:jc w:val="both"/>
        <w:rPr>
          <w:rFonts w:ascii="Bookman Old Style" w:eastAsia="Calibri" w:hAnsi="Bookman Old Style"/>
          <w:sz w:val="28"/>
          <w:szCs w:val="28"/>
        </w:rPr>
      </w:pPr>
    </w:p>
    <w:p w14:paraId="42E8DFDF" w14:textId="7C1216FE" w:rsidR="00D3489B" w:rsidRDefault="00D3489B" w:rsidP="00D3489B">
      <w:pPr>
        <w:spacing w:line="360" w:lineRule="auto"/>
        <w:ind w:firstLine="705"/>
        <w:jc w:val="both"/>
        <w:rPr>
          <w:rFonts w:ascii="Bookman Old Style" w:hAnsi="Bookman Old Style" w:cs="Arial"/>
          <w:sz w:val="28"/>
          <w:szCs w:val="28"/>
          <w:lang w:val="es-ES"/>
        </w:rPr>
      </w:pPr>
      <w:r>
        <w:rPr>
          <w:rFonts w:ascii="Bookman Old Style" w:eastAsia="Calibri" w:hAnsi="Bookman Old Style"/>
          <w:sz w:val="28"/>
          <w:szCs w:val="28"/>
        </w:rPr>
        <w:t xml:space="preserve">Ante este panorama </w:t>
      </w:r>
      <w:r>
        <w:rPr>
          <w:rFonts w:ascii="Bookman Old Style" w:hAnsi="Bookman Old Style" w:cs="Arial"/>
          <w:sz w:val="28"/>
          <w:szCs w:val="28"/>
        </w:rPr>
        <w:t>resulta evidente que</w:t>
      </w:r>
      <w:r>
        <w:rPr>
          <w:rFonts w:ascii="Bookman Old Style" w:hAnsi="Bookman Old Style"/>
          <w:sz w:val="28"/>
          <w:szCs w:val="28"/>
        </w:rPr>
        <w:t xml:space="preserve"> </w:t>
      </w:r>
      <w:r w:rsidR="00A93D1E">
        <w:rPr>
          <w:rFonts w:ascii="Bookman Old Style" w:hAnsi="Bookman Old Style"/>
          <w:sz w:val="28"/>
          <w:szCs w:val="28"/>
        </w:rPr>
        <w:t>el Juzgado Segundo Penal del Circuito de Conocimiento de Valledupar</w:t>
      </w:r>
      <w:r>
        <w:rPr>
          <w:rFonts w:ascii="Bookman Old Style" w:hAnsi="Bookman Old Style"/>
          <w:sz w:val="28"/>
          <w:szCs w:val="28"/>
        </w:rPr>
        <w:t xml:space="preserve"> </w:t>
      </w:r>
      <w:r>
        <w:rPr>
          <w:rFonts w:ascii="Bookman Old Style" w:hAnsi="Bookman Old Style" w:cs="Arial"/>
          <w:sz w:val="28"/>
          <w:szCs w:val="28"/>
        </w:rPr>
        <w:t xml:space="preserve">impartió un trámite </w:t>
      </w:r>
      <w:r w:rsidR="00F87B3B">
        <w:rPr>
          <w:rFonts w:ascii="Bookman Old Style" w:hAnsi="Bookman Old Style" w:cs="Arial"/>
          <w:sz w:val="28"/>
          <w:szCs w:val="28"/>
        </w:rPr>
        <w:t>inadecuado</w:t>
      </w:r>
      <w:r>
        <w:rPr>
          <w:rFonts w:ascii="Bookman Old Style" w:hAnsi="Bookman Old Style" w:cs="Arial"/>
          <w:sz w:val="28"/>
          <w:szCs w:val="28"/>
        </w:rPr>
        <w:t xml:space="preserve"> en el momento </w:t>
      </w:r>
      <w:r w:rsidR="00A93D1E">
        <w:rPr>
          <w:rFonts w:ascii="Bookman Old Style" w:hAnsi="Bookman Old Style" w:cs="Arial"/>
          <w:sz w:val="28"/>
          <w:szCs w:val="28"/>
        </w:rPr>
        <w:t>de</w:t>
      </w:r>
      <w:r>
        <w:rPr>
          <w:rFonts w:ascii="Bookman Old Style" w:hAnsi="Bookman Old Style" w:cs="Arial"/>
          <w:sz w:val="28"/>
          <w:szCs w:val="28"/>
        </w:rPr>
        <w:t xml:space="preserve"> </w:t>
      </w:r>
      <w:r w:rsidR="00942E36">
        <w:rPr>
          <w:rFonts w:ascii="Bookman Old Style" w:hAnsi="Bookman Old Style" w:cs="Arial"/>
          <w:sz w:val="28"/>
          <w:szCs w:val="28"/>
        </w:rPr>
        <w:t>convocar</w:t>
      </w:r>
      <w:r>
        <w:rPr>
          <w:rFonts w:ascii="Bookman Old Style" w:hAnsi="Bookman Old Style" w:cs="Arial"/>
          <w:sz w:val="28"/>
          <w:szCs w:val="28"/>
        </w:rPr>
        <w:t xml:space="preserve"> </w:t>
      </w:r>
      <w:r w:rsidR="00942E36">
        <w:rPr>
          <w:rFonts w:ascii="Bookman Old Style" w:hAnsi="Bookman Old Style" w:cs="Arial"/>
          <w:sz w:val="28"/>
          <w:szCs w:val="28"/>
        </w:rPr>
        <w:t>a la audiencia</w:t>
      </w:r>
      <w:r>
        <w:rPr>
          <w:rFonts w:ascii="Bookman Old Style" w:hAnsi="Bookman Old Style" w:cs="Arial"/>
          <w:sz w:val="28"/>
          <w:szCs w:val="28"/>
        </w:rPr>
        <w:t>, circunstancia que estructura el</w:t>
      </w:r>
      <w:r>
        <w:rPr>
          <w:rFonts w:ascii="Bookman Old Style" w:hAnsi="Bookman Old Style" w:cs="Arial"/>
          <w:i/>
          <w:sz w:val="28"/>
          <w:szCs w:val="28"/>
        </w:rPr>
        <w:t xml:space="preserve"> defecto procedimental</w:t>
      </w:r>
      <w:r>
        <w:rPr>
          <w:rStyle w:val="Refdenotaalpie"/>
          <w:rFonts w:ascii="Bookman Old Style" w:hAnsi="Bookman Old Style" w:cs="Arial"/>
          <w:i/>
          <w:sz w:val="28"/>
          <w:szCs w:val="28"/>
        </w:rPr>
        <w:footnoteReference w:id="4"/>
      </w:r>
      <w:r>
        <w:rPr>
          <w:rFonts w:ascii="Bookman Old Style" w:hAnsi="Bookman Old Style" w:cs="Arial"/>
          <w:sz w:val="28"/>
          <w:szCs w:val="28"/>
        </w:rPr>
        <w:t xml:space="preserve">, que lesionó el debido proceso y el derecho de defensa material del procesado, en la medida que no pudo </w:t>
      </w:r>
      <w:r w:rsidR="00942E36">
        <w:rPr>
          <w:rFonts w:ascii="Bookman Old Style" w:hAnsi="Bookman Old Style" w:cs="Arial"/>
          <w:sz w:val="28"/>
          <w:szCs w:val="28"/>
        </w:rPr>
        <w:t xml:space="preserve">asistir a la individualización de la pena, y mucho menos encauzar alguna inconformidad contra el fallo </w:t>
      </w:r>
      <w:r w:rsidR="000D2CDE">
        <w:rPr>
          <w:rFonts w:ascii="Bookman Old Style" w:hAnsi="Bookman Old Style" w:cs="Arial"/>
          <w:sz w:val="28"/>
          <w:szCs w:val="28"/>
        </w:rPr>
        <w:t>definitivo</w:t>
      </w:r>
      <w:r w:rsidR="00C05A9C">
        <w:rPr>
          <w:rFonts w:ascii="Bookman Old Style" w:hAnsi="Bookman Old Style" w:cs="Arial"/>
          <w:sz w:val="28"/>
          <w:szCs w:val="28"/>
        </w:rPr>
        <w:t>.</w:t>
      </w:r>
    </w:p>
    <w:p w14:paraId="7AE1369D" w14:textId="77777777" w:rsidR="00D3489B" w:rsidRDefault="00D3489B" w:rsidP="00D3489B">
      <w:pPr>
        <w:spacing w:line="360" w:lineRule="auto"/>
        <w:ind w:firstLine="705"/>
        <w:jc w:val="both"/>
        <w:rPr>
          <w:rFonts w:ascii="Bookman Old Style" w:hAnsi="Bookman Old Style" w:cs="Arial"/>
          <w:sz w:val="28"/>
          <w:szCs w:val="28"/>
        </w:rPr>
      </w:pPr>
    </w:p>
    <w:p w14:paraId="2D80ECCE" w14:textId="17763B43" w:rsidR="00F87B3B" w:rsidRDefault="000D2CDE" w:rsidP="00D3489B">
      <w:pPr>
        <w:spacing w:line="360" w:lineRule="auto"/>
        <w:ind w:firstLine="705"/>
        <w:jc w:val="both"/>
        <w:rPr>
          <w:rFonts w:ascii="Bookman Old Style" w:hAnsi="Bookman Old Style" w:cs="Arial"/>
          <w:sz w:val="28"/>
          <w:szCs w:val="28"/>
        </w:rPr>
      </w:pPr>
      <w:r>
        <w:rPr>
          <w:rFonts w:ascii="Bookman Old Style" w:hAnsi="Bookman Old Style" w:cs="Arial"/>
          <w:sz w:val="28"/>
          <w:szCs w:val="28"/>
        </w:rPr>
        <w:t>Con ello,</w:t>
      </w:r>
      <w:r w:rsidR="00D3489B">
        <w:rPr>
          <w:rFonts w:ascii="Bookman Old Style" w:hAnsi="Bookman Old Style" w:cs="Arial"/>
          <w:sz w:val="28"/>
          <w:szCs w:val="28"/>
        </w:rPr>
        <w:t xml:space="preserve"> pasó por alto las posibilidades materiales que tenía el procesado para ejercer su derecho en el trámite penal, pues debía considerarlo como un sujeto procesal merecedor de la citación efectiva y real a la diligencia</w:t>
      </w:r>
      <w:r w:rsidR="00F87B3B">
        <w:rPr>
          <w:rFonts w:ascii="Bookman Old Style" w:hAnsi="Bookman Old Style" w:cs="Arial"/>
          <w:sz w:val="28"/>
          <w:szCs w:val="28"/>
        </w:rPr>
        <w:t>.</w:t>
      </w:r>
    </w:p>
    <w:p w14:paraId="718EFC62" w14:textId="77777777" w:rsidR="00F87B3B" w:rsidRDefault="00F87B3B" w:rsidP="00D3489B">
      <w:pPr>
        <w:spacing w:line="360" w:lineRule="auto"/>
        <w:ind w:firstLine="705"/>
        <w:jc w:val="both"/>
        <w:rPr>
          <w:rFonts w:ascii="Bookman Old Style" w:hAnsi="Bookman Old Style" w:cs="Arial"/>
          <w:sz w:val="28"/>
          <w:szCs w:val="28"/>
        </w:rPr>
      </w:pPr>
    </w:p>
    <w:p w14:paraId="25516186" w14:textId="144D3FC9" w:rsidR="00747765" w:rsidRDefault="00C05A9C" w:rsidP="00747765">
      <w:pPr>
        <w:spacing w:line="360" w:lineRule="auto"/>
        <w:ind w:firstLine="705"/>
        <w:jc w:val="both"/>
        <w:rPr>
          <w:rFonts w:ascii="Bookman Old Style" w:hAnsi="Bookman Old Style" w:cs="Arial"/>
          <w:sz w:val="28"/>
          <w:szCs w:val="28"/>
        </w:rPr>
      </w:pPr>
      <w:r>
        <w:rPr>
          <w:rFonts w:ascii="Bookman Old Style" w:hAnsi="Bookman Old Style" w:cs="Arial"/>
          <w:sz w:val="28"/>
          <w:szCs w:val="28"/>
        </w:rPr>
        <w:t xml:space="preserve"> </w:t>
      </w:r>
      <w:r w:rsidR="00F87B3B">
        <w:rPr>
          <w:rFonts w:ascii="Bookman Old Style" w:hAnsi="Bookman Old Style" w:cs="Arial"/>
          <w:sz w:val="28"/>
          <w:szCs w:val="28"/>
        </w:rPr>
        <w:t>E</w:t>
      </w:r>
      <w:r>
        <w:rPr>
          <w:rFonts w:ascii="Bookman Old Style" w:hAnsi="Bookman Old Style" w:cs="Arial"/>
          <w:sz w:val="28"/>
          <w:szCs w:val="28"/>
        </w:rPr>
        <w:t>n igual sentido</w:t>
      </w:r>
      <w:r w:rsidR="00F87B3B">
        <w:rPr>
          <w:rFonts w:ascii="Bookman Old Style" w:hAnsi="Bookman Old Style" w:cs="Arial"/>
          <w:sz w:val="28"/>
          <w:szCs w:val="28"/>
        </w:rPr>
        <w:t xml:space="preserve"> la Sala de Tutelas No 3 de la </w:t>
      </w:r>
      <w:r w:rsidR="00F077EF">
        <w:rPr>
          <w:rFonts w:ascii="Bookman Old Style" w:hAnsi="Bookman Old Style" w:cs="Arial"/>
          <w:sz w:val="28"/>
          <w:szCs w:val="28"/>
        </w:rPr>
        <w:t>Sala de Casación Penal de esta Corte en</w:t>
      </w:r>
      <w:r>
        <w:rPr>
          <w:rFonts w:ascii="Bookman Old Style" w:hAnsi="Bookman Old Style" w:cs="Arial"/>
          <w:sz w:val="28"/>
          <w:szCs w:val="28"/>
        </w:rPr>
        <w:t xml:space="preserve"> STP6962-2021</w:t>
      </w:r>
      <w:r w:rsidR="00F077EF">
        <w:rPr>
          <w:rFonts w:ascii="Bookman Old Style" w:hAnsi="Bookman Old Style" w:cs="Arial"/>
          <w:sz w:val="28"/>
          <w:szCs w:val="28"/>
        </w:rPr>
        <w:t xml:space="preserve">, adoptó una decisión similar, en un asunto donde se prescindió </w:t>
      </w:r>
      <w:r w:rsidR="00F077EF" w:rsidRPr="00F077EF">
        <w:rPr>
          <w:rFonts w:ascii="Bookman Old Style" w:hAnsi="Bookman Old Style" w:cs="Arial"/>
          <w:sz w:val="28"/>
          <w:szCs w:val="28"/>
        </w:rPr>
        <w:t>de</w:t>
      </w:r>
      <w:r w:rsidR="00F077EF">
        <w:rPr>
          <w:rFonts w:ascii="Bookman Old Style" w:hAnsi="Bookman Old Style" w:cs="Arial"/>
          <w:sz w:val="28"/>
          <w:szCs w:val="28"/>
        </w:rPr>
        <w:t xml:space="preserve"> emitir</w:t>
      </w:r>
      <w:r w:rsidR="00F077EF" w:rsidRPr="00F077EF">
        <w:rPr>
          <w:rFonts w:ascii="Bookman Old Style" w:hAnsi="Bookman Old Style" w:cs="Arial"/>
          <w:sz w:val="28"/>
          <w:szCs w:val="28"/>
        </w:rPr>
        <w:t xml:space="preserve"> oficio dirigido a la dirección del procesado, para</w:t>
      </w:r>
      <w:r w:rsidR="00F077EF">
        <w:rPr>
          <w:rFonts w:ascii="Bookman Old Style" w:hAnsi="Bookman Old Style" w:cs="Arial"/>
          <w:sz w:val="28"/>
          <w:szCs w:val="28"/>
        </w:rPr>
        <w:t xml:space="preserve"> </w:t>
      </w:r>
      <w:r w:rsidR="00F077EF" w:rsidRPr="00F077EF">
        <w:rPr>
          <w:rFonts w:ascii="Bookman Old Style" w:hAnsi="Bookman Old Style" w:cs="Arial"/>
          <w:sz w:val="28"/>
          <w:szCs w:val="28"/>
        </w:rPr>
        <w:t xml:space="preserve">comunicarlo </w:t>
      </w:r>
      <w:r w:rsidR="00F077EF" w:rsidRPr="00F077EF">
        <w:rPr>
          <w:rFonts w:ascii="Bookman Old Style" w:hAnsi="Bookman Old Style" w:cs="Arial"/>
          <w:sz w:val="28"/>
          <w:szCs w:val="28"/>
        </w:rPr>
        <w:lastRenderedPageBreak/>
        <w:t>a través de su defensora, sin que se hubiera</w:t>
      </w:r>
      <w:r w:rsidR="00F077EF">
        <w:rPr>
          <w:rFonts w:ascii="Bookman Old Style" w:hAnsi="Bookman Old Style" w:cs="Arial"/>
          <w:sz w:val="28"/>
          <w:szCs w:val="28"/>
        </w:rPr>
        <w:t xml:space="preserve"> </w:t>
      </w:r>
      <w:r w:rsidR="00F077EF" w:rsidRPr="00F077EF">
        <w:rPr>
          <w:rFonts w:ascii="Bookman Old Style" w:hAnsi="Bookman Old Style" w:cs="Arial"/>
          <w:sz w:val="28"/>
          <w:szCs w:val="28"/>
        </w:rPr>
        <w:t>corroborado esa circunstanci</w:t>
      </w:r>
      <w:r w:rsidR="00625192">
        <w:rPr>
          <w:rFonts w:ascii="Bookman Old Style" w:hAnsi="Bookman Old Style" w:cs="Arial"/>
          <w:sz w:val="28"/>
          <w:szCs w:val="28"/>
        </w:rPr>
        <w:t>a.</w:t>
      </w:r>
    </w:p>
    <w:p w14:paraId="7294AE13" w14:textId="4CE7079D" w:rsidR="00747765" w:rsidRDefault="00747765" w:rsidP="00747765">
      <w:pPr>
        <w:spacing w:line="360" w:lineRule="auto"/>
        <w:ind w:firstLine="705"/>
        <w:jc w:val="both"/>
        <w:rPr>
          <w:rFonts w:ascii="Bookman Old Style" w:hAnsi="Bookman Old Style" w:cs="Arial"/>
          <w:sz w:val="28"/>
          <w:szCs w:val="28"/>
        </w:rPr>
      </w:pPr>
    </w:p>
    <w:p w14:paraId="561BDD7D" w14:textId="194154EA" w:rsidR="00747765" w:rsidRDefault="00747765" w:rsidP="00747765">
      <w:pPr>
        <w:spacing w:line="360" w:lineRule="auto"/>
        <w:ind w:firstLine="705"/>
        <w:jc w:val="both"/>
        <w:rPr>
          <w:rFonts w:ascii="Bookman Old Style" w:hAnsi="Bookman Old Style" w:cs="Arial"/>
          <w:sz w:val="28"/>
          <w:szCs w:val="28"/>
        </w:rPr>
      </w:pPr>
      <w:r>
        <w:rPr>
          <w:rFonts w:ascii="Bookman Old Style" w:hAnsi="Bookman Old Style" w:cs="Arial"/>
          <w:sz w:val="28"/>
          <w:szCs w:val="28"/>
        </w:rPr>
        <w:t xml:space="preserve">Igualmente, en </w:t>
      </w:r>
      <w:r w:rsidRPr="00747765">
        <w:rPr>
          <w:rFonts w:ascii="Bookman Old Style" w:hAnsi="Bookman Old Style" w:cs="Arial"/>
          <w:sz w:val="28"/>
          <w:szCs w:val="28"/>
        </w:rPr>
        <w:t>STP6660-2021</w:t>
      </w:r>
      <w:r>
        <w:rPr>
          <w:rFonts w:ascii="Bookman Old Style" w:hAnsi="Bookman Old Style" w:cs="Arial"/>
          <w:sz w:val="28"/>
          <w:szCs w:val="28"/>
        </w:rPr>
        <w:t xml:space="preserve">, también se decidió </w:t>
      </w:r>
      <w:r w:rsidR="00E751AC">
        <w:rPr>
          <w:rFonts w:ascii="Bookman Old Style" w:hAnsi="Bookman Old Style" w:cs="Arial"/>
          <w:sz w:val="28"/>
          <w:szCs w:val="28"/>
        </w:rPr>
        <w:t xml:space="preserve">amparar los derechos de quien no fuera convocado a </w:t>
      </w:r>
      <w:r w:rsidR="00673748">
        <w:rPr>
          <w:rFonts w:ascii="Bookman Old Style" w:hAnsi="Bookman Old Style" w:cs="Arial"/>
          <w:sz w:val="28"/>
          <w:szCs w:val="28"/>
        </w:rPr>
        <w:t>la</w:t>
      </w:r>
      <w:r w:rsidR="00E751AC">
        <w:rPr>
          <w:rFonts w:ascii="Bookman Old Style" w:hAnsi="Bookman Old Style" w:cs="Arial"/>
          <w:sz w:val="28"/>
          <w:szCs w:val="28"/>
        </w:rPr>
        <w:t xml:space="preserve"> diligencia </w:t>
      </w:r>
      <w:r w:rsidR="004938B5">
        <w:rPr>
          <w:rFonts w:ascii="Bookman Old Style" w:hAnsi="Bookman Old Style" w:cs="Arial"/>
          <w:sz w:val="28"/>
          <w:szCs w:val="28"/>
        </w:rPr>
        <w:t>de lectura de fallo</w:t>
      </w:r>
      <w:r w:rsidR="00E751AC">
        <w:rPr>
          <w:rFonts w:ascii="Bookman Old Style" w:hAnsi="Bookman Old Style" w:cs="Arial"/>
          <w:sz w:val="28"/>
          <w:szCs w:val="28"/>
        </w:rPr>
        <w:t xml:space="preserve"> </w:t>
      </w:r>
      <w:r w:rsidR="004938B5">
        <w:rPr>
          <w:rFonts w:ascii="Bookman Old Style" w:hAnsi="Bookman Old Style" w:cs="Arial"/>
          <w:sz w:val="28"/>
          <w:szCs w:val="28"/>
        </w:rPr>
        <w:t>condenatorio</w:t>
      </w:r>
      <w:r w:rsidR="00E751AC">
        <w:rPr>
          <w:rFonts w:ascii="Bookman Old Style" w:hAnsi="Bookman Old Style" w:cs="Arial"/>
          <w:sz w:val="28"/>
          <w:szCs w:val="28"/>
        </w:rPr>
        <w:t xml:space="preserve">, </w:t>
      </w:r>
      <w:r w:rsidR="0036011F">
        <w:rPr>
          <w:rFonts w:ascii="Bookman Old Style" w:hAnsi="Bookman Old Style" w:cs="Arial"/>
          <w:sz w:val="28"/>
          <w:szCs w:val="28"/>
        </w:rPr>
        <w:t xml:space="preserve">en ese caso, </w:t>
      </w:r>
      <w:r w:rsidR="0036011F" w:rsidRPr="0036011F">
        <w:rPr>
          <w:rFonts w:ascii="Bookman Old Style" w:hAnsi="Bookman Old Style" w:cs="Arial"/>
          <w:sz w:val="28"/>
          <w:szCs w:val="28"/>
        </w:rPr>
        <w:t xml:space="preserve">la citación </w:t>
      </w:r>
      <w:r w:rsidR="00673748">
        <w:rPr>
          <w:rFonts w:ascii="Bookman Old Style" w:hAnsi="Bookman Old Style" w:cs="Arial"/>
          <w:sz w:val="28"/>
          <w:szCs w:val="28"/>
        </w:rPr>
        <w:t>se</w:t>
      </w:r>
      <w:r w:rsidR="0036011F" w:rsidRPr="0036011F">
        <w:rPr>
          <w:rFonts w:ascii="Bookman Old Style" w:hAnsi="Bookman Old Style" w:cs="Arial"/>
          <w:sz w:val="28"/>
          <w:szCs w:val="28"/>
        </w:rPr>
        <w:t xml:space="preserve"> dirigió a una dirección diversa a la informada por la procesada en el plenario, y la llamada a través de la cual el despacho pretendió confirmar su debido enteramiento fue realizada a un abonado telefónico errado, </w:t>
      </w:r>
      <w:r w:rsidR="0036011F">
        <w:rPr>
          <w:rFonts w:ascii="Bookman Old Style" w:hAnsi="Bookman Old Style" w:cs="Arial"/>
          <w:sz w:val="28"/>
          <w:szCs w:val="28"/>
        </w:rPr>
        <w:t>además de que si bien fue comunicado a su defensa,</w:t>
      </w:r>
      <w:r w:rsidR="0036011F" w:rsidRPr="0036011F">
        <w:rPr>
          <w:rFonts w:ascii="Bookman Old Style" w:hAnsi="Bookman Old Style" w:cs="Arial"/>
          <w:sz w:val="28"/>
          <w:szCs w:val="28"/>
        </w:rPr>
        <w:t xml:space="preserve"> no obra</w:t>
      </w:r>
      <w:r w:rsidR="00BD091A">
        <w:rPr>
          <w:rFonts w:ascii="Bookman Old Style" w:hAnsi="Bookman Old Style" w:cs="Arial"/>
          <w:sz w:val="28"/>
          <w:szCs w:val="28"/>
        </w:rPr>
        <w:t>ba</w:t>
      </w:r>
      <w:r w:rsidR="0036011F" w:rsidRPr="0036011F">
        <w:rPr>
          <w:rFonts w:ascii="Bookman Old Style" w:hAnsi="Bookman Old Style" w:cs="Arial"/>
          <w:sz w:val="28"/>
          <w:szCs w:val="28"/>
        </w:rPr>
        <w:t xml:space="preserve"> constancia que éste hubiese enterado a su representada de la diligencia</w:t>
      </w:r>
      <w:r w:rsidR="00673748">
        <w:rPr>
          <w:rFonts w:ascii="Bookman Old Style" w:hAnsi="Bookman Old Style" w:cs="Arial"/>
          <w:sz w:val="28"/>
          <w:szCs w:val="28"/>
        </w:rPr>
        <w:t>.</w:t>
      </w:r>
    </w:p>
    <w:p w14:paraId="0BDC270F" w14:textId="17D311CA" w:rsidR="00673748" w:rsidRDefault="00673748" w:rsidP="00747765">
      <w:pPr>
        <w:spacing w:line="360" w:lineRule="auto"/>
        <w:ind w:firstLine="705"/>
        <w:jc w:val="both"/>
        <w:rPr>
          <w:rFonts w:ascii="Bookman Old Style" w:hAnsi="Bookman Old Style" w:cs="Arial"/>
          <w:sz w:val="28"/>
          <w:szCs w:val="28"/>
        </w:rPr>
      </w:pPr>
    </w:p>
    <w:p w14:paraId="175E33B9" w14:textId="69B2F6AC" w:rsidR="00673748" w:rsidRPr="00747765" w:rsidRDefault="00673748" w:rsidP="00747765">
      <w:pPr>
        <w:spacing w:line="360" w:lineRule="auto"/>
        <w:ind w:firstLine="705"/>
        <w:jc w:val="both"/>
        <w:rPr>
          <w:rFonts w:ascii="Bookman Old Style" w:hAnsi="Bookman Old Style" w:cs="Arial"/>
          <w:sz w:val="28"/>
          <w:szCs w:val="28"/>
        </w:rPr>
      </w:pPr>
      <w:r>
        <w:rPr>
          <w:rFonts w:ascii="Bookman Old Style" w:hAnsi="Bookman Old Style" w:cs="Arial"/>
          <w:sz w:val="28"/>
          <w:szCs w:val="28"/>
        </w:rPr>
        <w:t>Con m</w:t>
      </w:r>
      <w:r w:rsidR="00976BF5">
        <w:rPr>
          <w:rFonts w:ascii="Bookman Old Style" w:hAnsi="Bookman Old Style" w:cs="Arial"/>
          <w:sz w:val="28"/>
          <w:szCs w:val="28"/>
        </w:rPr>
        <w:t>á</w:t>
      </w:r>
      <w:r>
        <w:rPr>
          <w:rFonts w:ascii="Bookman Old Style" w:hAnsi="Bookman Old Style" w:cs="Arial"/>
          <w:sz w:val="28"/>
          <w:szCs w:val="28"/>
        </w:rPr>
        <w:t xml:space="preserve">s razón en el presente caso se impone la tutela de los derechos, pues aquí ni si quiera se verifica un acto de comunicación individualmente considerado al actor y, como en el caso que acaba de citarse, </w:t>
      </w:r>
      <w:r w:rsidR="00976BF5">
        <w:rPr>
          <w:rFonts w:ascii="Bookman Old Style" w:hAnsi="Bookman Old Style" w:cs="Arial"/>
          <w:sz w:val="28"/>
          <w:szCs w:val="28"/>
        </w:rPr>
        <w:t>instrumentalizar</w:t>
      </w:r>
      <w:r>
        <w:rPr>
          <w:rFonts w:ascii="Bookman Old Style" w:hAnsi="Bookman Old Style" w:cs="Arial"/>
          <w:sz w:val="28"/>
          <w:szCs w:val="28"/>
        </w:rPr>
        <w:t xml:space="preserve"> al apoderado para hacer extensiva </w:t>
      </w:r>
      <w:r w:rsidR="00976BF5">
        <w:rPr>
          <w:rFonts w:ascii="Bookman Old Style" w:hAnsi="Bookman Old Style" w:cs="Arial"/>
          <w:sz w:val="28"/>
          <w:szCs w:val="28"/>
        </w:rPr>
        <w:t>la citación, tampoco resultó efectivo, pues éste reconoció sólo haber dialogado con la madre del actor.</w:t>
      </w:r>
    </w:p>
    <w:p w14:paraId="6D24C62F" w14:textId="77777777" w:rsidR="00D3489B" w:rsidRDefault="00D3489B" w:rsidP="00D3489B">
      <w:pPr>
        <w:spacing w:line="360" w:lineRule="auto"/>
        <w:jc w:val="both"/>
        <w:rPr>
          <w:rFonts w:ascii="Bookman Old Style" w:eastAsia="Calibri" w:hAnsi="Bookman Old Style"/>
          <w:sz w:val="28"/>
          <w:szCs w:val="28"/>
        </w:rPr>
      </w:pPr>
    </w:p>
    <w:p w14:paraId="36D3E439" w14:textId="25CA9E7D" w:rsidR="00D3489B" w:rsidRDefault="00D3489B" w:rsidP="00D3489B">
      <w:pPr>
        <w:spacing w:line="360" w:lineRule="auto"/>
        <w:jc w:val="both"/>
        <w:rPr>
          <w:rFonts w:ascii="Bookman Old Style" w:hAnsi="Bookman Old Style" w:cs="Arial"/>
          <w:sz w:val="28"/>
          <w:szCs w:val="28"/>
        </w:rPr>
      </w:pPr>
      <w:r>
        <w:rPr>
          <w:rFonts w:ascii="Bookman Old Style" w:eastAsia="Calibri" w:hAnsi="Bookman Old Style"/>
          <w:sz w:val="28"/>
          <w:szCs w:val="28"/>
        </w:rPr>
        <w:tab/>
      </w:r>
      <w:r w:rsidR="004938B5">
        <w:rPr>
          <w:rFonts w:ascii="Bookman Old Style" w:eastAsia="Calibri" w:hAnsi="Bookman Old Style"/>
          <w:sz w:val="28"/>
          <w:szCs w:val="28"/>
        </w:rPr>
        <w:t>Por otro lado, e</w:t>
      </w:r>
      <w:r w:rsidR="00BD091A">
        <w:rPr>
          <w:rFonts w:ascii="Bookman Old Style" w:eastAsia="Calibri" w:hAnsi="Bookman Old Style"/>
          <w:sz w:val="28"/>
          <w:szCs w:val="28"/>
        </w:rPr>
        <w:t>n cuanto a la trascendencia del yerro, resáltese</w:t>
      </w:r>
      <w:r>
        <w:rPr>
          <w:rFonts w:ascii="Bookman Old Style" w:eastAsia="Calibri" w:hAnsi="Bookman Old Style"/>
          <w:sz w:val="28"/>
          <w:szCs w:val="28"/>
        </w:rPr>
        <w:t xml:space="preserve"> que </w:t>
      </w:r>
      <w:r>
        <w:rPr>
          <w:rFonts w:ascii="Bookman Old Style" w:eastAsia="Calibri" w:hAnsi="Bookman Old Style"/>
          <w:iCs/>
          <w:sz w:val="28"/>
          <w:szCs w:val="28"/>
        </w:rPr>
        <w:t xml:space="preserve">el derecho a la defensa material, en el contexto del sistema penal acusatorio, tiene varias connotaciones, por ejemplo, la facultad que le asiste al procesado de presentar alegatos introductorios y conclusivos, interponer recursos, elevar solicitudes y peticiones de diferente índole, interrogar a los testigos directamente, pedir pruebas y guardar silencio </w:t>
      </w:r>
      <w:r>
        <w:rPr>
          <w:rFonts w:ascii="Bookman Old Style" w:eastAsia="Calibri" w:hAnsi="Bookman Old Style"/>
          <w:iCs/>
          <w:sz w:val="28"/>
          <w:szCs w:val="28"/>
        </w:rPr>
        <w:lastRenderedPageBreak/>
        <w:t xml:space="preserve">o renunciar a hacerlo. </w:t>
      </w:r>
      <w:r>
        <w:rPr>
          <w:rFonts w:ascii="Bookman Old Style" w:hAnsi="Bookman Old Style" w:cs="Arial"/>
          <w:sz w:val="28"/>
          <w:szCs w:val="28"/>
        </w:rPr>
        <w:t>En desarrollo de ello, la citación del procesado se torna vital a efectos de garantizar su intervención en todas las etapas de la actuación, si esa es su voluntad</w:t>
      </w:r>
      <w:r>
        <w:rPr>
          <w:rFonts w:ascii="Bookman Old Style" w:eastAsia="Calibri" w:hAnsi="Bookman Old Style"/>
          <w:iCs/>
          <w:sz w:val="28"/>
          <w:szCs w:val="28"/>
        </w:rPr>
        <w:t xml:space="preserve"> (CSJ, AP6357-2015, 12 nov, 2015, rad. 41198)</w:t>
      </w:r>
      <w:r>
        <w:rPr>
          <w:rFonts w:ascii="Bookman Old Style" w:hAnsi="Bookman Old Style" w:cs="Arial"/>
          <w:sz w:val="28"/>
          <w:szCs w:val="28"/>
        </w:rPr>
        <w:t xml:space="preserve">. </w:t>
      </w:r>
    </w:p>
    <w:p w14:paraId="21A9B615" w14:textId="06BAF6D0" w:rsidR="009457BC" w:rsidRDefault="009457BC" w:rsidP="00D3489B">
      <w:pPr>
        <w:spacing w:line="360" w:lineRule="auto"/>
        <w:jc w:val="both"/>
        <w:rPr>
          <w:rFonts w:ascii="Bookman Old Style" w:hAnsi="Bookman Old Style" w:cs="Arial"/>
          <w:sz w:val="28"/>
          <w:szCs w:val="28"/>
        </w:rPr>
      </w:pPr>
    </w:p>
    <w:p w14:paraId="4D9B3000" w14:textId="76CF1ADB" w:rsidR="009457BC" w:rsidRPr="00F77220" w:rsidRDefault="009E4279" w:rsidP="009457BC">
      <w:pPr>
        <w:spacing w:line="360" w:lineRule="auto"/>
        <w:ind w:firstLine="708"/>
        <w:jc w:val="both"/>
        <w:rPr>
          <w:rFonts w:ascii="Bookman Old Style" w:eastAsia="Calibri" w:hAnsi="Bookman Old Style"/>
          <w:sz w:val="28"/>
          <w:szCs w:val="28"/>
        </w:rPr>
      </w:pPr>
      <w:r>
        <w:rPr>
          <w:rFonts w:ascii="Bookman Old Style" w:hAnsi="Bookman Old Style" w:cs="Arial"/>
          <w:sz w:val="28"/>
          <w:szCs w:val="28"/>
        </w:rPr>
        <w:t xml:space="preserve">En este caso, </w:t>
      </w:r>
      <w:r w:rsidR="0061682E">
        <w:rPr>
          <w:rFonts w:ascii="Bookman Old Style" w:hAnsi="Bookman Old Style" w:cs="Arial"/>
          <w:sz w:val="28"/>
          <w:szCs w:val="28"/>
        </w:rPr>
        <w:t xml:space="preserve">teniendo en cuenta que </w:t>
      </w:r>
      <w:r>
        <w:rPr>
          <w:rFonts w:ascii="Bookman Old Style" w:hAnsi="Bookman Old Style" w:cs="Arial"/>
          <w:sz w:val="28"/>
          <w:szCs w:val="28"/>
        </w:rPr>
        <w:t xml:space="preserve">el accionante </w:t>
      </w:r>
      <w:r w:rsidR="004F4095">
        <w:rPr>
          <w:rFonts w:ascii="Bookman Old Style" w:hAnsi="Bookman Old Style" w:cs="Arial"/>
          <w:sz w:val="28"/>
          <w:szCs w:val="28"/>
        </w:rPr>
        <w:t>pretende le sea garantizada</w:t>
      </w:r>
      <w:r w:rsidR="0061682E">
        <w:rPr>
          <w:rFonts w:ascii="Bookman Old Style" w:hAnsi="Bookman Old Style" w:cs="Arial"/>
          <w:sz w:val="28"/>
          <w:szCs w:val="28"/>
        </w:rPr>
        <w:t xml:space="preserve"> la </w:t>
      </w:r>
      <w:r>
        <w:rPr>
          <w:rFonts w:ascii="Bookman Old Style" w:hAnsi="Bookman Old Style" w:cs="Arial"/>
          <w:sz w:val="28"/>
          <w:szCs w:val="28"/>
        </w:rPr>
        <w:t xml:space="preserve">posibilidad de controvertir el fallo condenatorio, </w:t>
      </w:r>
      <w:r w:rsidR="0061682E">
        <w:rPr>
          <w:rFonts w:ascii="Bookman Old Style" w:hAnsi="Bookman Old Style" w:cs="Arial"/>
          <w:sz w:val="28"/>
          <w:szCs w:val="28"/>
        </w:rPr>
        <w:t>atendiendo que mostró su inconformidad con la modalidad de</w:t>
      </w:r>
      <w:r w:rsidR="00292716">
        <w:rPr>
          <w:rFonts w:ascii="Bookman Old Style" w:hAnsi="Bookman Old Style" w:cs="Arial"/>
          <w:sz w:val="28"/>
          <w:szCs w:val="28"/>
        </w:rPr>
        <w:t xml:space="preserve"> autoría aplicada en el fallo y, con ello, la tasación d</w:t>
      </w:r>
      <w:r w:rsidR="00CC79DD">
        <w:rPr>
          <w:rFonts w:ascii="Bookman Old Style" w:hAnsi="Bookman Old Style" w:cs="Arial"/>
          <w:sz w:val="28"/>
          <w:szCs w:val="28"/>
        </w:rPr>
        <w:t>e</w:t>
      </w:r>
      <w:r w:rsidR="00292716">
        <w:rPr>
          <w:rFonts w:ascii="Bookman Old Style" w:hAnsi="Bookman Old Style" w:cs="Arial"/>
          <w:sz w:val="28"/>
          <w:szCs w:val="28"/>
        </w:rPr>
        <w:t xml:space="preserve"> ello pena, </w:t>
      </w:r>
      <w:r>
        <w:rPr>
          <w:rFonts w:ascii="Bookman Old Style" w:hAnsi="Bookman Old Style" w:cs="Arial"/>
          <w:sz w:val="28"/>
          <w:szCs w:val="28"/>
        </w:rPr>
        <w:t xml:space="preserve">será desde la notificación de la sentencia en mención que se </w:t>
      </w:r>
      <w:r w:rsidR="00920718">
        <w:rPr>
          <w:rFonts w:ascii="Bookman Old Style" w:hAnsi="Bookman Old Style" w:cs="Arial"/>
          <w:sz w:val="28"/>
          <w:szCs w:val="28"/>
        </w:rPr>
        <w:t>invalide la actuación</w:t>
      </w:r>
      <w:r>
        <w:rPr>
          <w:rFonts w:ascii="Bookman Old Style" w:hAnsi="Bookman Old Style" w:cs="Arial"/>
          <w:sz w:val="28"/>
          <w:szCs w:val="28"/>
        </w:rPr>
        <w:t>.</w:t>
      </w:r>
    </w:p>
    <w:p w14:paraId="79E72EF4" w14:textId="4F8C97B4" w:rsidR="00D3489B" w:rsidRDefault="00D3489B" w:rsidP="00D3489B">
      <w:pPr>
        <w:spacing w:line="360" w:lineRule="auto"/>
        <w:ind w:firstLine="708"/>
        <w:jc w:val="both"/>
        <w:rPr>
          <w:rFonts w:ascii="Bookman Old Style" w:hAnsi="Bookman Old Style" w:cs="Arial"/>
          <w:sz w:val="28"/>
          <w:szCs w:val="28"/>
          <w:lang w:val="es-ES"/>
        </w:rPr>
      </w:pPr>
    </w:p>
    <w:p w14:paraId="5FA4C3A8" w14:textId="77777777" w:rsidR="000B7FEA" w:rsidRDefault="000B7FEA" w:rsidP="00D3489B">
      <w:pPr>
        <w:spacing w:line="360" w:lineRule="auto"/>
        <w:ind w:firstLine="708"/>
        <w:jc w:val="both"/>
        <w:rPr>
          <w:rFonts w:ascii="Bookman Old Style" w:hAnsi="Bookman Old Style" w:cs="Arial"/>
          <w:sz w:val="28"/>
          <w:szCs w:val="28"/>
          <w:lang w:val="es-ES"/>
        </w:rPr>
      </w:pPr>
    </w:p>
    <w:p w14:paraId="4A64518D" w14:textId="03298FEF" w:rsidR="00190F17" w:rsidRDefault="00BA00C4" w:rsidP="00D3489B">
      <w:pPr>
        <w:spacing w:line="360" w:lineRule="auto"/>
        <w:ind w:firstLine="708"/>
        <w:jc w:val="both"/>
        <w:rPr>
          <w:rFonts w:ascii="Bookman Old Style" w:hAnsi="Bookman Old Style"/>
          <w:i/>
          <w:iCs/>
          <w:sz w:val="28"/>
          <w:szCs w:val="28"/>
          <w:lang w:eastAsia="es-ES_tradnl"/>
        </w:rPr>
      </w:pPr>
      <w:r>
        <w:rPr>
          <w:rFonts w:ascii="Bookman Old Style" w:hAnsi="Bookman Old Style" w:cs="Arial"/>
          <w:sz w:val="28"/>
          <w:szCs w:val="28"/>
        </w:rPr>
        <w:t>Por lo tanto</w:t>
      </w:r>
      <w:r w:rsidR="00D3489B">
        <w:rPr>
          <w:rFonts w:ascii="Bookman Old Style" w:hAnsi="Bookman Old Style" w:cs="Arial"/>
          <w:sz w:val="28"/>
          <w:szCs w:val="28"/>
        </w:rPr>
        <w:t xml:space="preserve">, se impone </w:t>
      </w:r>
      <w:r w:rsidR="00A93D1E">
        <w:rPr>
          <w:rFonts w:ascii="Bookman Old Style" w:hAnsi="Bookman Old Style" w:cs="Arial"/>
          <w:sz w:val="28"/>
          <w:szCs w:val="28"/>
        </w:rPr>
        <w:t xml:space="preserve">revocar la sentencia de primer grado y </w:t>
      </w:r>
      <w:r w:rsidR="00D3489B">
        <w:rPr>
          <w:rFonts w:ascii="Bookman Old Style" w:hAnsi="Bookman Old Style" w:cs="Arial"/>
          <w:sz w:val="28"/>
          <w:szCs w:val="28"/>
        </w:rPr>
        <w:t xml:space="preserve">tutelar </w:t>
      </w:r>
      <w:r w:rsidR="00C05A9C">
        <w:rPr>
          <w:rFonts w:ascii="Bookman Old Style" w:hAnsi="Bookman Old Style" w:cs="Arial"/>
          <w:sz w:val="28"/>
          <w:szCs w:val="28"/>
        </w:rPr>
        <w:t>el derecho</w:t>
      </w:r>
      <w:r w:rsidR="00D3489B">
        <w:rPr>
          <w:rFonts w:ascii="Bookman Old Style" w:hAnsi="Bookman Old Style" w:cs="Arial"/>
          <w:sz w:val="28"/>
          <w:szCs w:val="28"/>
        </w:rPr>
        <w:t xml:space="preserve"> al debido proceso de </w:t>
      </w:r>
      <w:r w:rsidR="00C05A9C" w:rsidRPr="00A93D1E">
        <w:rPr>
          <w:rFonts w:ascii="Bookman Old Style" w:hAnsi="Bookman Old Style" w:cs="Arial"/>
          <w:b/>
          <w:sz w:val="28"/>
          <w:szCs w:val="28"/>
        </w:rPr>
        <w:t>Fernán</w:t>
      </w:r>
      <w:r w:rsidR="00A93D1E" w:rsidRPr="00A93D1E">
        <w:rPr>
          <w:rFonts w:ascii="Bookman Old Style" w:hAnsi="Bookman Old Style" w:cs="Arial"/>
          <w:b/>
          <w:sz w:val="28"/>
          <w:szCs w:val="28"/>
        </w:rPr>
        <w:t xml:space="preserve"> Ortega Baquero</w:t>
      </w:r>
      <w:r w:rsidR="00A93D1E">
        <w:rPr>
          <w:rFonts w:ascii="Bookman Old Style" w:hAnsi="Bookman Old Style" w:cs="Arial"/>
          <w:b/>
          <w:sz w:val="28"/>
          <w:szCs w:val="28"/>
        </w:rPr>
        <w:t xml:space="preserve"> </w:t>
      </w:r>
      <w:r w:rsidR="00D3489B" w:rsidRPr="002A0918">
        <w:rPr>
          <w:rFonts w:ascii="Bookman Old Style" w:hAnsi="Bookman Old Style" w:cs="Arial"/>
          <w:color w:val="000000"/>
          <w:sz w:val="28"/>
          <w:szCs w:val="28"/>
        </w:rPr>
        <w:t xml:space="preserve">y, en consecuencia, </w:t>
      </w:r>
      <w:r w:rsidR="00D3489B">
        <w:rPr>
          <w:rFonts w:ascii="Bookman Old Style" w:hAnsi="Bookman Old Style" w:cs="Arial"/>
          <w:color w:val="000000"/>
          <w:sz w:val="28"/>
          <w:szCs w:val="28"/>
        </w:rPr>
        <w:t xml:space="preserve">dejar sin efecto lo actuado en el proceso penal </w:t>
      </w:r>
      <w:r w:rsidR="00A93D1E">
        <w:rPr>
          <w:rFonts w:ascii="Bookman Old Style" w:hAnsi="Bookman Old Style" w:cs="Arial"/>
          <w:sz w:val="28"/>
          <w:szCs w:val="28"/>
          <w:lang w:val="es-ES"/>
        </w:rPr>
        <w:t>20001-60-01</w:t>
      </w:r>
      <w:r w:rsidR="00476786">
        <w:rPr>
          <w:rFonts w:ascii="Bookman Old Style" w:hAnsi="Bookman Old Style" w:cs="Arial"/>
          <w:sz w:val="28"/>
          <w:szCs w:val="28"/>
          <w:lang w:val="es-ES"/>
        </w:rPr>
        <w:t>074-2016-01354</w:t>
      </w:r>
      <w:r w:rsidR="00D3489B">
        <w:rPr>
          <w:rFonts w:ascii="Bookman Old Style" w:hAnsi="Bookman Old Style" w:cs="Arial"/>
          <w:sz w:val="28"/>
          <w:szCs w:val="28"/>
          <w:lang w:val="es-ES"/>
        </w:rPr>
        <w:t xml:space="preserve">, desde la </w:t>
      </w:r>
      <w:r w:rsidR="00152094">
        <w:rPr>
          <w:rFonts w:ascii="Bookman Old Style" w:hAnsi="Bookman Old Style" w:cs="Arial"/>
          <w:sz w:val="28"/>
          <w:szCs w:val="28"/>
          <w:lang w:val="es-ES"/>
        </w:rPr>
        <w:t>notificación de la</w:t>
      </w:r>
      <w:r w:rsidR="00D3489B">
        <w:rPr>
          <w:rFonts w:ascii="Bookman Old Style" w:hAnsi="Bookman Old Style" w:cs="Arial"/>
          <w:sz w:val="28"/>
          <w:szCs w:val="28"/>
          <w:lang w:val="es-ES"/>
        </w:rPr>
        <w:t xml:space="preserve"> sentencia del </w:t>
      </w:r>
      <w:r w:rsidR="00476786">
        <w:rPr>
          <w:rFonts w:ascii="Bookman Old Style" w:hAnsi="Bookman Old Style" w:cs="Arial"/>
          <w:sz w:val="28"/>
          <w:szCs w:val="28"/>
          <w:lang w:val="es-ES"/>
        </w:rPr>
        <w:t>26</w:t>
      </w:r>
      <w:r w:rsidR="00D3489B">
        <w:rPr>
          <w:rFonts w:ascii="Bookman Old Style" w:hAnsi="Bookman Old Style" w:cs="Arial"/>
          <w:sz w:val="28"/>
          <w:szCs w:val="28"/>
          <w:lang w:val="es-ES"/>
        </w:rPr>
        <w:t xml:space="preserve"> de </w:t>
      </w:r>
      <w:r w:rsidR="00476786">
        <w:rPr>
          <w:rFonts w:ascii="Bookman Old Style" w:hAnsi="Bookman Old Style" w:cs="Arial"/>
          <w:sz w:val="28"/>
          <w:szCs w:val="28"/>
          <w:lang w:val="es-ES"/>
        </w:rPr>
        <w:t>septiembre</w:t>
      </w:r>
      <w:r w:rsidR="00D3489B">
        <w:rPr>
          <w:rFonts w:ascii="Bookman Old Style" w:hAnsi="Bookman Old Style" w:cs="Arial"/>
          <w:sz w:val="28"/>
          <w:szCs w:val="28"/>
          <w:lang w:val="es-ES"/>
        </w:rPr>
        <w:t xml:space="preserve"> de </w:t>
      </w:r>
      <w:r w:rsidR="00476786">
        <w:rPr>
          <w:rFonts w:ascii="Bookman Old Style" w:hAnsi="Bookman Old Style" w:cs="Arial"/>
          <w:sz w:val="28"/>
          <w:szCs w:val="28"/>
          <w:lang w:val="es-ES"/>
        </w:rPr>
        <w:t>2019</w:t>
      </w:r>
      <w:r w:rsidR="00D3489B">
        <w:rPr>
          <w:rFonts w:ascii="Bookman Old Style" w:hAnsi="Bookman Old Style" w:cs="Arial"/>
          <w:sz w:val="28"/>
          <w:szCs w:val="28"/>
          <w:lang w:val="es-ES"/>
        </w:rPr>
        <w:t xml:space="preserve">, </w:t>
      </w:r>
      <w:r w:rsidR="00667C12" w:rsidRPr="00D6110F">
        <w:rPr>
          <w:rFonts w:ascii="Bookman Old Style" w:hAnsi="Bookman Old Style"/>
          <w:sz w:val="28"/>
          <w:szCs w:val="28"/>
        </w:rPr>
        <w:t xml:space="preserve">para que, en un plazo de 5 días hábiles contados a partir de </w:t>
      </w:r>
      <w:r w:rsidR="0052338E">
        <w:rPr>
          <w:rFonts w:ascii="Bookman Old Style" w:hAnsi="Bookman Old Style"/>
          <w:sz w:val="28"/>
          <w:szCs w:val="28"/>
        </w:rPr>
        <w:t>la notificación de esta sentencia</w:t>
      </w:r>
      <w:r w:rsidR="00667C12" w:rsidRPr="00D6110F">
        <w:rPr>
          <w:rFonts w:ascii="Bookman Old Style" w:hAnsi="Bookman Old Style"/>
          <w:sz w:val="28"/>
          <w:szCs w:val="28"/>
        </w:rPr>
        <w:t xml:space="preserve">, </w:t>
      </w:r>
      <w:r w:rsidR="00667C12">
        <w:rPr>
          <w:rFonts w:ascii="Bookman Old Style" w:hAnsi="Bookman Old Style"/>
          <w:sz w:val="28"/>
          <w:szCs w:val="28"/>
        </w:rPr>
        <w:t xml:space="preserve">el </w:t>
      </w:r>
      <w:r w:rsidR="00667C12">
        <w:rPr>
          <w:rFonts w:ascii="Bookman Old Style" w:hAnsi="Bookman Old Style"/>
          <w:sz w:val="28"/>
          <w:szCs w:val="28"/>
          <w:lang w:val="es-ES_tradnl"/>
        </w:rPr>
        <w:t>J</w:t>
      </w:r>
      <w:r w:rsidR="00667C12" w:rsidRPr="00D3489B">
        <w:rPr>
          <w:rFonts w:ascii="Bookman Old Style" w:hAnsi="Bookman Old Style"/>
          <w:sz w:val="28"/>
          <w:szCs w:val="28"/>
          <w:lang w:val="es-ES_tradnl"/>
        </w:rPr>
        <w:t xml:space="preserve">uzgado Segundo Penal del Circuito con Funciones de Conocimiento de Valledupar </w:t>
      </w:r>
      <w:r w:rsidR="00667C12" w:rsidRPr="00D6110F">
        <w:rPr>
          <w:rFonts w:ascii="Bookman Old Style" w:hAnsi="Bookman Old Style"/>
          <w:sz w:val="28"/>
          <w:szCs w:val="28"/>
        </w:rPr>
        <w:t>proceda a notificar</w:t>
      </w:r>
      <w:r w:rsidR="00667C12">
        <w:rPr>
          <w:rFonts w:ascii="Bookman Old Style" w:hAnsi="Bookman Old Style"/>
          <w:sz w:val="28"/>
          <w:szCs w:val="28"/>
        </w:rPr>
        <w:t>la</w:t>
      </w:r>
      <w:r w:rsidR="00667C12" w:rsidRPr="00D6110F">
        <w:rPr>
          <w:rFonts w:ascii="Bookman Old Style" w:hAnsi="Bookman Old Style"/>
          <w:sz w:val="28"/>
          <w:szCs w:val="28"/>
        </w:rPr>
        <w:t xml:space="preserve"> personalmente con la consecuencia natural de habilitarse los términos para interponer recurso</w:t>
      </w:r>
      <w:r w:rsidR="00C94682">
        <w:rPr>
          <w:rFonts w:ascii="Bookman Old Style" w:hAnsi="Bookman Old Style"/>
          <w:sz w:val="28"/>
          <w:szCs w:val="28"/>
        </w:rPr>
        <w:t>s</w:t>
      </w:r>
      <w:r w:rsidR="00667C12" w:rsidRPr="00D6110F">
        <w:rPr>
          <w:rFonts w:ascii="Bookman Old Style" w:hAnsi="Bookman Old Style"/>
          <w:sz w:val="28"/>
          <w:szCs w:val="28"/>
        </w:rPr>
        <w:t>.</w:t>
      </w:r>
    </w:p>
    <w:p w14:paraId="6F51148B" w14:textId="1AFF3EE3" w:rsidR="00D3489B" w:rsidRDefault="00D3489B" w:rsidP="00D3489B">
      <w:pPr>
        <w:spacing w:line="360" w:lineRule="auto"/>
        <w:ind w:firstLine="708"/>
        <w:jc w:val="both"/>
        <w:rPr>
          <w:rFonts w:ascii="Bookman Old Style" w:hAnsi="Bookman Old Style"/>
          <w:sz w:val="28"/>
          <w:szCs w:val="28"/>
        </w:rPr>
      </w:pPr>
    </w:p>
    <w:p w14:paraId="4D1C3E3D" w14:textId="77777777" w:rsidR="000B7FEA" w:rsidRPr="00AF6F6F" w:rsidRDefault="000B7FEA" w:rsidP="00D3489B">
      <w:pPr>
        <w:spacing w:line="360" w:lineRule="auto"/>
        <w:ind w:firstLine="708"/>
        <w:jc w:val="both"/>
        <w:rPr>
          <w:rFonts w:ascii="Bookman Old Style" w:hAnsi="Bookman Old Style"/>
          <w:sz w:val="28"/>
          <w:szCs w:val="28"/>
        </w:rPr>
      </w:pPr>
    </w:p>
    <w:p w14:paraId="03DFD7AF" w14:textId="4EF2FA1E" w:rsidR="00AB3DB2" w:rsidRDefault="00AB3DB2" w:rsidP="00AB3DB2">
      <w:pPr>
        <w:widowControl w:val="0"/>
        <w:spacing w:line="360" w:lineRule="auto"/>
        <w:ind w:firstLine="708"/>
        <w:jc w:val="both"/>
        <w:rPr>
          <w:rFonts w:ascii="Bookman Old Style" w:hAnsi="Bookman Old Style" w:cs="Arial"/>
          <w:spacing w:val="-4"/>
          <w:sz w:val="28"/>
          <w:szCs w:val="28"/>
        </w:rPr>
      </w:pPr>
      <w:r w:rsidRPr="00267EF5">
        <w:rPr>
          <w:rFonts w:ascii="Bookman Old Style" w:hAnsi="Bookman Old Style" w:cs="Arial"/>
          <w:spacing w:val="-4"/>
          <w:sz w:val="28"/>
          <w:szCs w:val="28"/>
        </w:rPr>
        <w:t xml:space="preserve">En mérito de lo expuesto, la </w:t>
      </w:r>
      <w:r w:rsidRPr="00080BBC">
        <w:rPr>
          <w:rFonts w:ascii="Bookman Old Style" w:hAnsi="Bookman Old Style" w:cs="Arial"/>
          <w:b/>
          <w:spacing w:val="-4"/>
          <w:sz w:val="28"/>
          <w:szCs w:val="28"/>
        </w:rPr>
        <w:t>Sala de Casación Penal de la Corte Suprema de Justicia</w:t>
      </w:r>
      <w:r w:rsidR="00151C67">
        <w:rPr>
          <w:rFonts w:ascii="Bookman Old Style" w:hAnsi="Bookman Old Style" w:cs="Arial"/>
          <w:b/>
          <w:spacing w:val="-4"/>
          <w:sz w:val="28"/>
          <w:szCs w:val="28"/>
        </w:rPr>
        <w:t xml:space="preserve"> – Sala de Decisión de Tutelas </w:t>
      </w:r>
      <w:r w:rsidR="00151C67">
        <w:rPr>
          <w:rFonts w:ascii="Bookman Old Style" w:hAnsi="Bookman Old Style" w:cs="Arial"/>
          <w:b/>
          <w:spacing w:val="-4"/>
          <w:sz w:val="28"/>
          <w:szCs w:val="28"/>
        </w:rPr>
        <w:lastRenderedPageBreak/>
        <w:t>Nº 3</w:t>
      </w:r>
      <w:r w:rsidRPr="00267EF5">
        <w:rPr>
          <w:rFonts w:ascii="Bookman Old Style" w:hAnsi="Bookman Old Style" w:cs="Arial"/>
          <w:spacing w:val="-4"/>
          <w:sz w:val="28"/>
          <w:szCs w:val="28"/>
        </w:rPr>
        <w:t>, administrando justicia en nombre de la República y por autoridad de la Ley,</w:t>
      </w:r>
    </w:p>
    <w:p w14:paraId="5A7234ED" w14:textId="6A6554BE" w:rsidR="000B7FEA" w:rsidRDefault="000B7FEA" w:rsidP="00AB3DB2">
      <w:pPr>
        <w:widowControl w:val="0"/>
        <w:spacing w:line="360" w:lineRule="auto"/>
        <w:ind w:firstLine="708"/>
        <w:jc w:val="both"/>
        <w:rPr>
          <w:rFonts w:ascii="Bookman Old Style" w:hAnsi="Bookman Old Style" w:cs="Arial"/>
          <w:spacing w:val="-4"/>
          <w:sz w:val="28"/>
          <w:szCs w:val="28"/>
        </w:rPr>
      </w:pPr>
    </w:p>
    <w:p w14:paraId="4C70E566" w14:textId="77777777" w:rsidR="000B7FEA" w:rsidRDefault="000B7FEA" w:rsidP="00AB3DB2">
      <w:pPr>
        <w:widowControl w:val="0"/>
        <w:spacing w:line="360" w:lineRule="auto"/>
        <w:ind w:firstLine="708"/>
        <w:jc w:val="both"/>
        <w:rPr>
          <w:rFonts w:ascii="Bookman Old Style" w:hAnsi="Bookman Old Style" w:cs="Arial"/>
          <w:spacing w:val="-4"/>
          <w:sz w:val="28"/>
          <w:szCs w:val="28"/>
        </w:rPr>
      </w:pPr>
    </w:p>
    <w:p w14:paraId="7B379C28" w14:textId="3CED49EB" w:rsidR="00D2504D" w:rsidRDefault="00D2504D" w:rsidP="00D2504D">
      <w:pPr>
        <w:pStyle w:val="Ttulo1"/>
        <w:spacing w:before="0" w:line="360" w:lineRule="auto"/>
        <w:jc w:val="center"/>
        <w:rPr>
          <w:rFonts w:ascii="Bookman Old Style" w:hAnsi="Bookman Old Style"/>
          <w:b/>
          <w:color w:val="auto"/>
          <w:sz w:val="28"/>
          <w:szCs w:val="28"/>
        </w:rPr>
      </w:pPr>
      <w:r w:rsidRPr="00D2504D">
        <w:rPr>
          <w:rFonts w:ascii="Bookman Old Style" w:hAnsi="Bookman Old Style"/>
          <w:b/>
          <w:color w:val="auto"/>
          <w:sz w:val="28"/>
          <w:szCs w:val="28"/>
        </w:rPr>
        <w:t>RESUELVE</w:t>
      </w:r>
    </w:p>
    <w:p w14:paraId="70CFE01D" w14:textId="77777777" w:rsidR="00D2504D" w:rsidRDefault="00D2504D" w:rsidP="002C66CE">
      <w:pPr>
        <w:tabs>
          <w:tab w:val="left" w:pos="840"/>
          <w:tab w:val="left" w:pos="3486"/>
        </w:tabs>
        <w:ind w:firstLine="709"/>
        <w:jc w:val="both"/>
        <w:rPr>
          <w:rFonts w:ascii="Bookman Old Style" w:hAnsi="Bookman Old Style" w:cs="Arial"/>
          <w:b/>
          <w:spacing w:val="-3"/>
          <w:sz w:val="28"/>
          <w:szCs w:val="28"/>
        </w:rPr>
      </w:pPr>
    </w:p>
    <w:p w14:paraId="71D5B177" w14:textId="1ED5099B" w:rsidR="00267EF5" w:rsidRDefault="00D2504D" w:rsidP="00267EF5">
      <w:pPr>
        <w:tabs>
          <w:tab w:val="left" w:pos="0"/>
          <w:tab w:val="left" w:pos="567"/>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ind w:firstLine="709"/>
        <w:jc w:val="both"/>
        <w:rPr>
          <w:rFonts w:ascii="Bookman Old Style" w:hAnsi="Bookman Old Style" w:cs="Arial"/>
          <w:bCs/>
          <w:spacing w:val="-3"/>
          <w:sz w:val="28"/>
          <w:szCs w:val="28"/>
        </w:rPr>
      </w:pPr>
      <w:r>
        <w:rPr>
          <w:rFonts w:ascii="Bookman Old Style" w:hAnsi="Bookman Old Style" w:cs="Arial"/>
          <w:b/>
          <w:bCs/>
          <w:spacing w:val="-3"/>
          <w:sz w:val="28"/>
          <w:szCs w:val="28"/>
        </w:rPr>
        <w:t>PRIMERO:</w:t>
      </w:r>
      <w:r w:rsidR="00267EF5" w:rsidRPr="009124E3">
        <w:rPr>
          <w:rFonts w:ascii="Bookman Old Style" w:hAnsi="Bookman Old Style" w:cs="Arial"/>
          <w:bCs/>
          <w:spacing w:val="-3"/>
          <w:sz w:val="28"/>
          <w:szCs w:val="28"/>
        </w:rPr>
        <w:t xml:space="preserve"> </w:t>
      </w:r>
      <w:r w:rsidR="00476786">
        <w:rPr>
          <w:rFonts w:ascii="Bookman Old Style" w:hAnsi="Bookman Old Style" w:cs="Arial"/>
          <w:b/>
          <w:bCs/>
          <w:spacing w:val="-3"/>
          <w:sz w:val="28"/>
          <w:szCs w:val="28"/>
        </w:rPr>
        <w:t>REVOCAR</w:t>
      </w:r>
      <w:r w:rsidR="00267EF5" w:rsidRPr="009124E3">
        <w:rPr>
          <w:rFonts w:ascii="Bookman Old Style" w:hAnsi="Bookman Old Style" w:cs="Arial"/>
          <w:b/>
          <w:bCs/>
          <w:spacing w:val="-3"/>
          <w:sz w:val="28"/>
          <w:szCs w:val="28"/>
        </w:rPr>
        <w:t xml:space="preserve"> </w:t>
      </w:r>
      <w:r w:rsidR="00267EF5" w:rsidRPr="009124E3">
        <w:rPr>
          <w:rFonts w:ascii="Bookman Old Style" w:hAnsi="Bookman Old Style" w:cs="Arial"/>
          <w:bCs/>
          <w:spacing w:val="-3"/>
          <w:sz w:val="28"/>
          <w:szCs w:val="28"/>
        </w:rPr>
        <w:t xml:space="preserve">el fallo impugnado. </w:t>
      </w:r>
    </w:p>
    <w:p w14:paraId="4B2E296D" w14:textId="77777777" w:rsidR="00D126E8" w:rsidRDefault="00D126E8" w:rsidP="00267EF5">
      <w:pPr>
        <w:tabs>
          <w:tab w:val="left" w:pos="0"/>
          <w:tab w:val="left" w:pos="567"/>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ind w:firstLine="709"/>
        <w:jc w:val="both"/>
        <w:rPr>
          <w:rFonts w:ascii="Bookman Old Style" w:hAnsi="Bookman Old Style" w:cs="Arial"/>
          <w:bCs/>
          <w:spacing w:val="-3"/>
          <w:sz w:val="28"/>
          <w:szCs w:val="28"/>
        </w:rPr>
      </w:pPr>
    </w:p>
    <w:p w14:paraId="2E062907" w14:textId="77777777" w:rsidR="00267EF5" w:rsidRDefault="00267EF5" w:rsidP="002C66CE">
      <w:pPr>
        <w:tabs>
          <w:tab w:val="left" w:pos="0"/>
          <w:tab w:val="left" w:pos="567"/>
          <w:tab w:val="left" w:pos="1416"/>
          <w:tab w:val="left" w:pos="2124"/>
          <w:tab w:val="left" w:pos="2832"/>
          <w:tab w:val="left" w:pos="3540"/>
          <w:tab w:val="left" w:pos="4248"/>
          <w:tab w:val="left" w:pos="4956"/>
          <w:tab w:val="left" w:pos="5664"/>
          <w:tab w:val="left" w:pos="6372"/>
          <w:tab w:val="left" w:pos="7080"/>
          <w:tab w:val="left" w:pos="7788"/>
        </w:tabs>
        <w:suppressAutoHyphens/>
        <w:ind w:firstLine="709"/>
        <w:jc w:val="both"/>
        <w:rPr>
          <w:rFonts w:ascii="Bookman Old Style" w:hAnsi="Bookman Old Style" w:cs="Arial"/>
          <w:bCs/>
          <w:spacing w:val="-3"/>
          <w:sz w:val="28"/>
          <w:szCs w:val="28"/>
        </w:rPr>
      </w:pPr>
    </w:p>
    <w:p w14:paraId="04B5E800" w14:textId="4BBF1785" w:rsidR="00476786" w:rsidRDefault="00267EF5" w:rsidP="00267EF5">
      <w:pPr>
        <w:tabs>
          <w:tab w:val="left" w:pos="0"/>
          <w:tab w:val="left" w:pos="567"/>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ind w:firstLine="709"/>
        <w:jc w:val="both"/>
        <w:rPr>
          <w:rFonts w:ascii="Bookman Old Style" w:hAnsi="Bookman Old Style" w:cs="Arial"/>
          <w:i/>
          <w:spacing w:val="-3"/>
          <w:sz w:val="28"/>
          <w:szCs w:val="28"/>
        </w:rPr>
      </w:pPr>
      <w:r w:rsidRPr="009124E3">
        <w:rPr>
          <w:rFonts w:ascii="Bookman Old Style" w:hAnsi="Bookman Old Style" w:cs="Arial"/>
          <w:b/>
          <w:spacing w:val="-3"/>
          <w:sz w:val="28"/>
          <w:szCs w:val="28"/>
          <w:u w:val="single"/>
        </w:rPr>
        <w:t>SEGUNDO</w:t>
      </w:r>
      <w:r w:rsidRPr="009124E3">
        <w:rPr>
          <w:rFonts w:ascii="Bookman Old Style" w:hAnsi="Bookman Old Style" w:cs="Arial"/>
          <w:spacing w:val="-3"/>
          <w:sz w:val="28"/>
          <w:szCs w:val="28"/>
        </w:rPr>
        <w:t>:</w:t>
      </w:r>
      <w:r w:rsidRPr="009124E3">
        <w:rPr>
          <w:rFonts w:ascii="Bookman Old Style" w:hAnsi="Bookman Old Style" w:cs="Arial"/>
          <w:i/>
          <w:spacing w:val="-3"/>
          <w:sz w:val="28"/>
          <w:szCs w:val="28"/>
        </w:rPr>
        <w:t xml:space="preserve"> </w:t>
      </w:r>
      <w:r w:rsidR="00C05A9C" w:rsidRPr="00C05A9C">
        <w:rPr>
          <w:rFonts w:ascii="Bookman Old Style" w:hAnsi="Bookman Old Style" w:cs="Arial"/>
          <w:b/>
          <w:bCs/>
          <w:iCs/>
          <w:spacing w:val="-3"/>
          <w:sz w:val="28"/>
          <w:szCs w:val="28"/>
        </w:rPr>
        <w:t>AMPARAR</w:t>
      </w:r>
      <w:r w:rsidR="00C05A9C" w:rsidRPr="00C05A9C">
        <w:rPr>
          <w:rFonts w:ascii="Bookman Old Style" w:hAnsi="Bookman Old Style" w:cs="Arial"/>
          <w:iCs/>
          <w:spacing w:val="-3"/>
          <w:sz w:val="28"/>
          <w:szCs w:val="28"/>
        </w:rPr>
        <w:t xml:space="preserve"> el derecho al debido proceso de</w:t>
      </w:r>
      <w:r w:rsidR="00C05A9C">
        <w:rPr>
          <w:rFonts w:ascii="Bookman Old Style" w:hAnsi="Bookman Old Style" w:cs="Arial"/>
          <w:i/>
          <w:spacing w:val="-3"/>
          <w:sz w:val="28"/>
          <w:szCs w:val="28"/>
        </w:rPr>
        <w:t xml:space="preserve"> </w:t>
      </w:r>
      <w:r w:rsidR="00C05A9C" w:rsidRPr="00A93D1E">
        <w:rPr>
          <w:rFonts w:ascii="Bookman Old Style" w:hAnsi="Bookman Old Style" w:cs="Arial"/>
          <w:b/>
          <w:sz w:val="28"/>
          <w:szCs w:val="28"/>
        </w:rPr>
        <w:t>Fernán Ortega Baquero</w:t>
      </w:r>
      <w:r w:rsidR="00C05A9C" w:rsidRPr="00C05A9C">
        <w:rPr>
          <w:rFonts w:ascii="Bookman Old Style" w:hAnsi="Bookman Old Style" w:cs="Arial"/>
          <w:bCs/>
          <w:sz w:val="28"/>
          <w:szCs w:val="28"/>
        </w:rPr>
        <w:t xml:space="preserve">, </w:t>
      </w:r>
      <w:r w:rsidR="00C94682" w:rsidRPr="002A0918">
        <w:rPr>
          <w:rFonts w:ascii="Bookman Old Style" w:hAnsi="Bookman Old Style" w:cs="Arial"/>
          <w:color w:val="000000"/>
          <w:sz w:val="28"/>
          <w:szCs w:val="28"/>
        </w:rPr>
        <w:t xml:space="preserve">en consecuencia, </w:t>
      </w:r>
      <w:r w:rsidR="00C94682">
        <w:rPr>
          <w:rFonts w:ascii="Bookman Old Style" w:hAnsi="Bookman Old Style" w:cs="Arial"/>
          <w:color w:val="000000"/>
          <w:sz w:val="28"/>
          <w:szCs w:val="28"/>
        </w:rPr>
        <w:t xml:space="preserve">dejar sin efecto lo actuado en el proceso penal </w:t>
      </w:r>
      <w:r w:rsidR="00C94682">
        <w:rPr>
          <w:rFonts w:ascii="Bookman Old Style" w:hAnsi="Bookman Old Style" w:cs="Arial"/>
          <w:sz w:val="28"/>
          <w:szCs w:val="28"/>
          <w:lang w:val="es-ES"/>
        </w:rPr>
        <w:t xml:space="preserve">20001-60-01074-2016-01354, desde la notificación de la sentencia del 26 de septiembre de 2019, </w:t>
      </w:r>
      <w:r w:rsidR="00C94682" w:rsidRPr="00D6110F">
        <w:rPr>
          <w:rFonts w:ascii="Bookman Old Style" w:hAnsi="Bookman Old Style"/>
          <w:sz w:val="28"/>
          <w:szCs w:val="28"/>
        </w:rPr>
        <w:t xml:space="preserve">para que, en un plazo de 5 días hábiles contados a partir de </w:t>
      </w:r>
      <w:r w:rsidR="0052338E">
        <w:rPr>
          <w:rFonts w:ascii="Bookman Old Style" w:hAnsi="Bookman Old Style"/>
          <w:sz w:val="28"/>
          <w:szCs w:val="28"/>
        </w:rPr>
        <w:t>la notificación de esta sentencia</w:t>
      </w:r>
      <w:r w:rsidR="00C94682" w:rsidRPr="00D6110F">
        <w:rPr>
          <w:rFonts w:ascii="Bookman Old Style" w:hAnsi="Bookman Old Style"/>
          <w:sz w:val="28"/>
          <w:szCs w:val="28"/>
        </w:rPr>
        <w:t xml:space="preserve">, </w:t>
      </w:r>
      <w:r w:rsidR="00C94682">
        <w:rPr>
          <w:rFonts w:ascii="Bookman Old Style" w:hAnsi="Bookman Old Style"/>
          <w:sz w:val="28"/>
          <w:szCs w:val="28"/>
        </w:rPr>
        <w:t xml:space="preserve">el </w:t>
      </w:r>
      <w:r w:rsidR="00C94682">
        <w:rPr>
          <w:rFonts w:ascii="Bookman Old Style" w:hAnsi="Bookman Old Style"/>
          <w:sz w:val="28"/>
          <w:szCs w:val="28"/>
          <w:lang w:val="es-ES_tradnl"/>
        </w:rPr>
        <w:t>J</w:t>
      </w:r>
      <w:r w:rsidR="00C94682" w:rsidRPr="00D3489B">
        <w:rPr>
          <w:rFonts w:ascii="Bookman Old Style" w:hAnsi="Bookman Old Style"/>
          <w:sz w:val="28"/>
          <w:szCs w:val="28"/>
          <w:lang w:val="es-ES_tradnl"/>
        </w:rPr>
        <w:t xml:space="preserve">uzgado Segundo Penal del Circuito con Funciones de Conocimiento de Valledupar </w:t>
      </w:r>
      <w:r w:rsidR="00C94682" w:rsidRPr="00D6110F">
        <w:rPr>
          <w:rFonts w:ascii="Bookman Old Style" w:hAnsi="Bookman Old Style"/>
          <w:sz w:val="28"/>
          <w:szCs w:val="28"/>
        </w:rPr>
        <w:t>proceda a notificar</w:t>
      </w:r>
      <w:r w:rsidR="00C94682">
        <w:rPr>
          <w:rFonts w:ascii="Bookman Old Style" w:hAnsi="Bookman Old Style"/>
          <w:sz w:val="28"/>
          <w:szCs w:val="28"/>
        </w:rPr>
        <w:t>la</w:t>
      </w:r>
      <w:r w:rsidR="00C94682" w:rsidRPr="00D6110F">
        <w:rPr>
          <w:rFonts w:ascii="Bookman Old Style" w:hAnsi="Bookman Old Style"/>
          <w:sz w:val="28"/>
          <w:szCs w:val="28"/>
        </w:rPr>
        <w:t xml:space="preserve"> personalmente con la consecuencia natural de habilitarse los términos para interponer recurso</w:t>
      </w:r>
      <w:r w:rsidR="00C94682">
        <w:rPr>
          <w:rFonts w:ascii="Bookman Old Style" w:hAnsi="Bookman Old Style"/>
          <w:sz w:val="28"/>
          <w:szCs w:val="28"/>
        </w:rPr>
        <w:t>s</w:t>
      </w:r>
      <w:r w:rsidR="00C94682" w:rsidRPr="00D6110F">
        <w:rPr>
          <w:rFonts w:ascii="Bookman Old Style" w:hAnsi="Bookman Old Style"/>
          <w:sz w:val="28"/>
          <w:szCs w:val="28"/>
        </w:rPr>
        <w:t>.</w:t>
      </w:r>
    </w:p>
    <w:p w14:paraId="67BCD0C0" w14:textId="77777777" w:rsidR="00476786" w:rsidRDefault="00476786" w:rsidP="00267EF5">
      <w:pPr>
        <w:tabs>
          <w:tab w:val="left" w:pos="0"/>
          <w:tab w:val="left" w:pos="567"/>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ind w:firstLine="709"/>
        <w:jc w:val="both"/>
        <w:rPr>
          <w:rFonts w:ascii="Bookman Old Style" w:hAnsi="Bookman Old Style" w:cs="Arial"/>
          <w:i/>
          <w:spacing w:val="-3"/>
          <w:sz w:val="28"/>
          <w:szCs w:val="28"/>
        </w:rPr>
      </w:pPr>
    </w:p>
    <w:p w14:paraId="4419CF46" w14:textId="1D20AD0C" w:rsidR="00AB43CE" w:rsidRDefault="00476786" w:rsidP="00267EF5">
      <w:pPr>
        <w:tabs>
          <w:tab w:val="left" w:pos="0"/>
          <w:tab w:val="left" w:pos="567"/>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ind w:firstLine="709"/>
        <w:jc w:val="both"/>
        <w:rPr>
          <w:rFonts w:ascii="Bookman Old Style" w:hAnsi="Bookman Old Style" w:cs="Arial"/>
          <w:i/>
          <w:spacing w:val="-3"/>
          <w:sz w:val="28"/>
          <w:szCs w:val="28"/>
        </w:rPr>
      </w:pPr>
      <w:r w:rsidRPr="00476786">
        <w:rPr>
          <w:rFonts w:ascii="Bookman Old Style" w:hAnsi="Bookman Old Style" w:cs="Arial"/>
          <w:b/>
          <w:bCs/>
          <w:spacing w:val="-3"/>
          <w:sz w:val="28"/>
          <w:szCs w:val="28"/>
          <w:u w:val="single"/>
        </w:rPr>
        <w:t>TERCERO</w:t>
      </w:r>
      <w:r>
        <w:rPr>
          <w:rFonts w:ascii="Bookman Old Style" w:hAnsi="Bookman Old Style" w:cs="Arial"/>
          <w:spacing w:val="-3"/>
          <w:sz w:val="28"/>
          <w:szCs w:val="28"/>
        </w:rPr>
        <w:t xml:space="preserve">: </w:t>
      </w:r>
      <w:r w:rsidR="00882EC1" w:rsidRPr="009124E3">
        <w:rPr>
          <w:rFonts w:ascii="Bookman Old Style" w:hAnsi="Bookman Old Style" w:cs="Arial"/>
          <w:spacing w:val="-3"/>
          <w:sz w:val="28"/>
          <w:szCs w:val="28"/>
        </w:rPr>
        <w:t>Ejecutoriada esta decisión, remítase el expediente a la Corte Constitucional para su eventual revisión.</w:t>
      </w:r>
    </w:p>
    <w:p w14:paraId="63276CFE" w14:textId="77777777" w:rsidR="00D2504D" w:rsidRDefault="00D2504D" w:rsidP="00080BBC">
      <w:pPr>
        <w:ind w:firstLine="709"/>
        <w:jc w:val="both"/>
        <w:rPr>
          <w:rFonts w:ascii="Bookman Old Style" w:hAnsi="Bookman Old Style" w:cs="Tahoma"/>
          <w:sz w:val="28"/>
          <w:szCs w:val="28"/>
        </w:rPr>
      </w:pPr>
    </w:p>
    <w:p w14:paraId="7C34DE5B" w14:textId="77777777" w:rsidR="00D126E8" w:rsidRDefault="00D126E8" w:rsidP="00080BBC">
      <w:pPr>
        <w:ind w:firstLine="709"/>
        <w:jc w:val="both"/>
        <w:rPr>
          <w:rFonts w:ascii="Bookman Old Style" w:hAnsi="Bookman Old Style" w:cs="Tahoma"/>
          <w:sz w:val="28"/>
          <w:szCs w:val="28"/>
        </w:rPr>
      </w:pPr>
    </w:p>
    <w:p w14:paraId="7A8D30E6" w14:textId="77777777" w:rsidR="00D2504D" w:rsidRDefault="00D2504D" w:rsidP="00D2504D">
      <w:pPr>
        <w:tabs>
          <w:tab w:val="left" w:pos="840"/>
        </w:tabs>
        <w:spacing w:line="360" w:lineRule="auto"/>
        <w:ind w:firstLine="709"/>
        <w:jc w:val="both"/>
        <w:rPr>
          <w:rFonts w:ascii="Bookman Old Style" w:hAnsi="Bookman Old Style" w:cs="Arial"/>
          <w:sz w:val="28"/>
          <w:szCs w:val="28"/>
        </w:rPr>
      </w:pPr>
      <w:r>
        <w:rPr>
          <w:rFonts w:ascii="Bookman Old Style" w:hAnsi="Bookman Old Style" w:cs="Arial"/>
          <w:sz w:val="28"/>
          <w:szCs w:val="28"/>
        </w:rPr>
        <w:t>Notifíquese y cúmplase.</w:t>
      </w:r>
    </w:p>
    <w:p w14:paraId="317539BF" w14:textId="3EA30FCF" w:rsidR="002C66CE" w:rsidRDefault="002C66CE" w:rsidP="00D2504D">
      <w:pPr>
        <w:tabs>
          <w:tab w:val="left" w:pos="840"/>
        </w:tabs>
        <w:spacing w:line="360" w:lineRule="auto"/>
        <w:ind w:firstLine="709"/>
        <w:jc w:val="both"/>
        <w:rPr>
          <w:rFonts w:ascii="Bookman Old Style" w:eastAsia="Times New Roman" w:hAnsi="Bookman Old Style" w:cs="Arial"/>
          <w:sz w:val="28"/>
          <w:szCs w:val="28"/>
        </w:rPr>
      </w:pPr>
    </w:p>
    <w:p w14:paraId="10A24993" w14:textId="77777777" w:rsidR="000B7FEA" w:rsidRDefault="000B7FEA" w:rsidP="00D2504D">
      <w:pPr>
        <w:tabs>
          <w:tab w:val="left" w:pos="840"/>
        </w:tabs>
        <w:spacing w:line="360" w:lineRule="auto"/>
        <w:ind w:firstLine="709"/>
        <w:jc w:val="both"/>
        <w:rPr>
          <w:rFonts w:ascii="Bookman Old Style" w:eastAsia="Times New Roman" w:hAnsi="Bookman Old Style" w:cs="Arial"/>
          <w:sz w:val="28"/>
          <w:szCs w:val="28"/>
        </w:rPr>
      </w:pPr>
    </w:p>
    <w:p w14:paraId="392AA817" w14:textId="77777777" w:rsidR="00FF65D3" w:rsidRDefault="00FF65D3" w:rsidP="00D2504D">
      <w:pPr>
        <w:tabs>
          <w:tab w:val="left" w:pos="840"/>
        </w:tabs>
        <w:spacing w:line="360" w:lineRule="auto"/>
        <w:ind w:firstLine="709"/>
        <w:jc w:val="both"/>
        <w:rPr>
          <w:rFonts w:ascii="Bookman Old Style" w:eastAsia="Times New Roman" w:hAnsi="Bookman Old Style" w:cs="Arial"/>
          <w:sz w:val="28"/>
          <w:szCs w:val="28"/>
        </w:rPr>
      </w:pPr>
    </w:p>
    <w:p w14:paraId="13DF1310" w14:textId="070ADCC3" w:rsidR="00FF65D3" w:rsidRPr="0083728E" w:rsidRDefault="00E8597F" w:rsidP="00FF65D3">
      <w:pPr>
        <w:overflowPunct w:val="0"/>
        <w:autoSpaceDE w:val="0"/>
        <w:autoSpaceDN w:val="0"/>
        <w:adjustRightInd w:val="0"/>
        <w:spacing w:line="360" w:lineRule="auto"/>
        <w:jc w:val="center"/>
        <w:textAlignment w:val="baseline"/>
        <w:rPr>
          <w:rFonts w:ascii="Bookman Old Style" w:eastAsia="Times New Roman" w:hAnsi="Bookman Old Style" w:cs="Arial"/>
          <w:b/>
          <w:sz w:val="28"/>
          <w:szCs w:val="28"/>
          <w:lang w:eastAsia="es-ES"/>
        </w:rPr>
      </w:pPr>
      <w:r>
        <w:rPr>
          <w:rFonts w:ascii="Bookman Old Style" w:eastAsia="Times New Roman" w:hAnsi="Bookman Old Style" w:cs="Arial"/>
          <w:b/>
          <w:sz w:val="28"/>
          <w:szCs w:val="28"/>
          <w:lang w:eastAsia="es-ES"/>
        </w:rPr>
        <w:t>DIEGO EUGENIO CORREDOR BELTRÁN</w:t>
      </w:r>
    </w:p>
    <w:p w14:paraId="347F54A5" w14:textId="77777777" w:rsidR="00FF65D3" w:rsidRPr="0083728E" w:rsidRDefault="00FF65D3" w:rsidP="00D2504D">
      <w:pPr>
        <w:tabs>
          <w:tab w:val="left" w:pos="840"/>
        </w:tabs>
        <w:spacing w:line="360" w:lineRule="auto"/>
        <w:ind w:firstLine="709"/>
        <w:jc w:val="both"/>
        <w:rPr>
          <w:rFonts w:ascii="Bookman Old Style" w:eastAsia="Times New Roman" w:hAnsi="Bookman Old Style" w:cs="Arial"/>
          <w:sz w:val="28"/>
          <w:szCs w:val="28"/>
        </w:rPr>
      </w:pPr>
    </w:p>
    <w:p w14:paraId="2770D1CC" w14:textId="221D54DF" w:rsidR="00FF65D3" w:rsidRDefault="00FF65D3" w:rsidP="00D2504D">
      <w:pPr>
        <w:tabs>
          <w:tab w:val="left" w:pos="840"/>
        </w:tabs>
        <w:spacing w:line="360" w:lineRule="auto"/>
        <w:ind w:firstLine="709"/>
        <w:jc w:val="both"/>
        <w:rPr>
          <w:rFonts w:ascii="Bookman Old Style" w:eastAsia="Times New Roman" w:hAnsi="Bookman Old Style" w:cs="Arial"/>
          <w:sz w:val="28"/>
          <w:szCs w:val="28"/>
        </w:rPr>
      </w:pPr>
    </w:p>
    <w:p w14:paraId="5A4DA82E" w14:textId="7039DD40" w:rsidR="000B7FEA" w:rsidRDefault="000B7FEA" w:rsidP="00D2504D">
      <w:pPr>
        <w:tabs>
          <w:tab w:val="left" w:pos="840"/>
        </w:tabs>
        <w:spacing w:line="360" w:lineRule="auto"/>
        <w:ind w:firstLine="709"/>
        <w:jc w:val="both"/>
        <w:rPr>
          <w:rFonts w:ascii="Bookman Old Style" w:eastAsia="Times New Roman" w:hAnsi="Bookman Old Style" w:cs="Arial"/>
          <w:sz w:val="28"/>
          <w:szCs w:val="28"/>
        </w:rPr>
      </w:pPr>
    </w:p>
    <w:p w14:paraId="76E9D9B5" w14:textId="77777777" w:rsidR="000B7FEA" w:rsidRPr="0083728E" w:rsidRDefault="000B7FEA" w:rsidP="00D2504D">
      <w:pPr>
        <w:tabs>
          <w:tab w:val="left" w:pos="840"/>
        </w:tabs>
        <w:spacing w:line="360" w:lineRule="auto"/>
        <w:ind w:firstLine="709"/>
        <w:jc w:val="both"/>
        <w:rPr>
          <w:rFonts w:ascii="Bookman Old Style" w:eastAsia="Times New Roman" w:hAnsi="Bookman Old Style" w:cs="Arial"/>
          <w:sz w:val="28"/>
          <w:szCs w:val="28"/>
        </w:rPr>
      </w:pPr>
    </w:p>
    <w:p w14:paraId="1599E596" w14:textId="769C87E5" w:rsidR="00D2504D" w:rsidRDefault="00E8597F" w:rsidP="002C66C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rPr>
          <w:rFonts w:ascii="Bookman Old Style" w:hAnsi="Bookman Old Style" w:cs="Arial"/>
          <w:b/>
          <w:smallCaps/>
          <w:spacing w:val="-20"/>
          <w:sz w:val="28"/>
          <w:szCs w:val="28"/>
        </w:rPr>
      </w:pPr>
      <w:r>
        <w:rPr>
          <w:rFonts w:ascii="Bookman Old Style" w:hAnsi="Bookman Old Style" w:cs="Arial"/>
          <w:b/>
          <w:smallCaps/>
          <w:spacing w:val="-20"/>
          <w:sz w:val="28"/>
          <w:szCs w:val="28"/>
        </w:rPr>
        <w:t>GERSON CHAVERRA CASTRO</w:t>
      </w:r>
    </w:p>
    <w:p w14:paraId="6E1644B7" w14:textId="6757094E" w:rsidR="00E8597F" w:rsidRDefault="00E8597F" w:rsidP="002C66C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rPr>
          <w:rFonts w:ascii="Bookman Old Style" w:hAnsi="Bookman Old Style" w:cs="Arial"/>
          <w:b/>
          <w:smallCaps/>
          <w:spacing w:val="-20"/>
          <w:sz w:val="28"/>
          <w:szCs w:val="28"/>
        </w:rPr>
      </w:pPr>
    </w:p>
    <w:p w14:paraId="110CD3AD" w14:textId="0451DF88" w:rsidR="00E8597F" w:rsidRDefault="00E8597F" w:rsidP="002C66C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rPr>
          <w:rFonts w:ascii="Bookman Old Style" w:hAnsi="Bookman Old Style" w:cs="Arial"/>
          <w:b/>
          <w:smallCaps/>
          <w:spacing w:val="-20"/>
          <w:sz w:val="28"/>
          <w:szCs w:val="28"/>
        </w:rPr>
      </w:pPr>
    </w:p>
    <w:p w14:paraId="53F911BD" w14:textId="152A5562" w:rsidR="000B7FEA" w:rsidRDefault="000B7FEA" w:rsidP="002C66C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rPr>
          <w:rFonts w:ascii="Bookman Old Style" w:hAnsi="Bookman Old Style" w:cs="Arial"/>
          <w:b/>
          <w:smallCaps/>
          <w:spacing w:val="-20"/>
          <w:sz w:val="28"/>
          <w:szCs w:val="28"/>
        </w:rPr>
      </w:pPr>
    </w:p>
    <w:p w14:paraId="141A3C4A" w14:textId="77777777" w:rsidR="000B7FEA" w:rsidRPr="0083728E" w:rsidRDefault="000B7FEA" w:rsidP="002C66C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rPr>
          <w:rFonts w:ascii="Bookman Old Style" w:hAnsi="Bookman Old Style" w:cs="Arial"/>
          <w:b/>
          <w:smallCaps/>
          <w:spacing w:val="-20"/>
          <w:sz w:val="28"/>
          <w:szCs w:val="28"/>
        </w:rPr>
      </w:pPr>
    </w:p>
    <w:p w14:paraId="11E119AE" w14:textId="6248AD5B" w:rsidR="0083728E" w:rsidRPr="0083728E" w:rsidRDefault="0083728E" w:rsidP="002C66C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rPr>
          <w:rFonts w:ascii="Bookman Old Style" w:hAnsi="Bookman Old Style" w:cs="Arial"/>
          <w:b/>
          <w:smallCaps/>
          <w:spacing w:val="-20"/>
          <w:sz w:val="28"/>
          <w:szCs w:val="28"/>
        </w:rPr>
      </w:pPr>
    </w:p>
    <w:p w14:paraId="03A2E43C" w14:textId="77777777" w:rsidR="0083728E" w:rsidRPr="0083728E" w:rsidRDefault="0083728E" w:rsidP="002C66C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rPr>
          <w:rFonts w:ascii="Bookman Old Style" w:hAnsi="Bookman Old Style" w:cs="Arial"/>
          <w:b/>
          <w:smallCaps/>
          <w:spacing w:val="-20"/>
          <w:sz w:val="28"/>
          <w:szCs w:val="28"/>
        </w:rPr>
      </w:pPr>
    </w:p>
    <w:p w14:paraId="218F7F1C" w14:textId="77777777" w:rsidR="00D2504D" w:rsidRPr="0083728E" w:rsidRDefault="00D2504D" w:rsidP="00D2504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center"/>
        <w:rPr>
          <w:rFonts w:ascii="Bookman Old Style" w:hAnsi="Bookman Old Style" w:cs="Arial"/>
          <w:b/>
          <w:smallCaps/>
          <w:spacing w:val="-20"/>
          <w:sz w:val="28"/>
          <w:szCs w:val="28"/>
        </w:rPr>
      </w:pPr>
      <w:r w:rsidRPr="0083728E">
        <w:rPr>
          <w:rFonts w:ascii="Bookman Old Style" w:hAnsi="Bookman Old Style" w:cs="Arial"/>
          <w:b/>
          <w:smallCaps/>
          <w:spacing w:val="-20"/>
          <w:sz w:val="28"/>
          <w:szCs w:val="28"/>
        </w:rPr>
        <w:t>EYDER PATIÑO CABRERA</w:t>
      </w:r>
    </w:p>
    <w:p w14:paraId="190C104B" w14:textId="4D879263" w:rsidR="00D2504D" w:rsidRDefault="00D2504D" w:rsidP="00D2504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center"/>
        <w:rPr>
          <w:rFonts w:ascii="Bookman Old Style" w:hAnsi="Bookman Old Style" w:cs="Arial"/>
          <w:b/>
          <w:smallCaps/>
          <w:spacing w:val="-20"/>
          <w:sz w:val="28"/>
          <w:szCs w:val="28"/>
        </w:rPr>
      </w:pPr>
    </w:p>
    <w:p w14:paraId="6507BFF2" w14:textId="77777777" w:rsidR="000B7FEA" w:rsidRPr="0083728E" w:rsidRDefault="000B7FEA" w:rsidP="00D2504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center"/>
        <w:rPr>
          <w:rFonts w:ascii="Bookman Old Style" w:hAnsi="Bookman Old Style" w:cs="Arial"/>
          <w:b/>
          <w:smallCaps/>
          <w:spacing w:val="-20"/>
          <w:sz w:val="28"/>
          <w:szCs w:val="28"/>
        </w:rPr>
      </w:pPr>
    </w:p>
    <w:p w14:paraId="2E2D35E2" w14:textId="77777777" w:rsidR="00FF65D3" w:rsidRPr="0083728E" w:rsidRDefault="00FF65D3" w:rsidP="00D2504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center"/>
        <w:rPr>
          <w:rFonts w:ascii="Bookman Old Style" w:hAnsi="Bookman Old Style" w:cs="Arial"/>
          <w:b/>
          <w:smallCaps/>
          <w:spacing w:val="-20"/>
          <w:sz w:val="28"/>
          <w:szCs w:val="28"/>
        </w:rPr>
      </w:pPr>
    </w:p>
    <w:p w14:paraId="1FF59D1D" w14:textId="77777777" w:rsidR="002A5F50" w:rsidRPr="0083728E" w:rsidRDefault="002A5F50" w:rsidP="00882EC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rPr>
          <w:rFonts w:ascii="Bookman Old Style" w:hAnsi="Bookman Old Style" w:cs="Arial"/>
          <w:smallCaps/>
          <w:sz w:val="28"/>
          <w:szCs w:val="28"/>
        </w:rPr>
      </w:pPr>
    </w:p>
    <w:p w14:paraId="38DB6028" w14:textId="77777777" w:rsidR="00D2504D" w:rsidRPr="0083728E" w:rsidRDefault="00D2504D" w:rsidP="00D2504D">
      <w:pPr>
        <w:keepNext/>
        <w:spacing w:line="360" w:lineRule="auto"/>
        <w:jc w:val="center"/>
        <w:outlineLvl w:val="2"/>
        <w:rPr>
          <w:rFonts w:ascii="Bookman Old Style" w:hAnsi="Bookman Old Style" w:cs="Arial"/>
          <w:smallCaps/>
          <w:sz w:val="28"/>
          <w:szCs w:val="28"/>
        </w:rPr>
      </w:pPr>
      <w:r w:rsidRPr="0083728E">
        <w:rPr>
          <w:rFonts w:ascii="Bookman Old Style" w:hAnsi="Bookman Old Style" w:cs="Arial"/>
          <w:smallCaps/>
          <w:sz w:val="28"/>
          <w:szCs w:val="28"/>
        </w:rPr>
        <w:t>Nubia Yolanda Nova García</w:t>
      </w:r>
    </w:p>
    <w:p w14:paraId="5304AE54" w14:textId="77777777" w:rsidR="00D2504D" w:rsidRDefault="00D2504D" w:rsidP="00D2504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center"/>
        <w:rPr>
          <w:rFonts w:ascii="Bookman Old Style" w:hAnsi="Bookman Old Style" w:cs="Arial"/>
          <w:sz w:val="28"/>
          <w:szCs w:val="28"/>
        </w:rPr>
      </w:pPr>
      <w:r w:rsidRPr="0083728E">
        <w:rPr>
          <w:rFonts w:ascii="Bookman Old Style" w:hAnsi="Bookman Old Style" w:cs="Arial"/>
          <w:sz w:val="28"/>
          <w:szCs w:val="28"/>
        </w:rPr>
        <w:t>Secretaria</w:t>
      </w:r>
      <w:bookmarkStart w:id="0" w:name="_GoBack"/>
      <w:bookmarkEnd w:id="0"/>
    </w:p>
    <w:sectPr w:rsidR="00D2504D" w:rsidSect="00B87A20">
      <w:headerReference w:type="default" r:id="rId11"/>
      <w:footerReference w:type="default" r:id="rId12"/>
      <w:headerReference w:type="first" r:id="rId13"/>
      <w:pgSz w:w="12242" w:h="18722" w:code="14"/>
      <w:pgMar w:top="1985" w:right="1701" w:bottom="1985" w:left="2268" w:header="1417" w:footer="14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32055" w14:textId="77777777" w:rsidR="003067D4" w:rsidRDefault="003067D4" w:rsidP="00B87A20">
      <w:r>
        <w:separator/>
      </w:r>
    </w:p>
  </w:endnote>
  <w:endnote w:type="continuationSeparator" w:id="0">
    <w:p w14:paraId="2E4FDB25" w14:textId="77777777" w:rsidR="003067D4" w:rsidRDefault="003067D4" w:rsidP="00B87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strangelo Edessa">
    <w:panose1 w:val="00000000000000000000"/>
    <w:charset w:val="01"/>
    <w:family w:val="roman"/>
    <w:notTrueType/>
    <w:pitch w:val="variable"/>
  </w:font>
  <w:font w:name="Comic Sans MS">
    <w:panose1 w:val="030F0702030302020204"/>
    <w:charset w:val="00"/>
    <w:family w:val="script"/>
    <w:pitch w:val="variable"/>
    <w:sig w:usb0="00000287" w:usb1="00000013"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5700645"/>
      <w:docPartObj>
        <w:docPartGallery w:val="Page Numbers (Bottom of Page)"/>
        <w:docPartUnique/>
      </w:docPartObj>
    </w:sdtPr>
    <w:sdtEndPr>
      <w:rPr>
        <w:rFonts w:ascii="Bookman Old Style" w:hAnsi="Bookman Old Style"/>
        <w:sz w:val="18"/>
        <w:szCs w:val="18"/>
      </w:rPr>
    </w:sdtEndPr>
    <w:sdtContent>
      <w:p w14:paraId="58FFBEEF" w14:textId="1842E108" w:rsidR="00F96EDF" w:rsidRPr="0009040D" w:rsidRDefault="00C64EE4" w:rsidP="0009040D">
        <w:pPr>
          <w:pStyle w:val="Piedepgina"/>
          <w:jc w:val="right"/>
          <w:rPr>
            <w:rFonts w:ascii="Bookman Old Style" w:hAnsi="Bookman Old Style"/>
            <w:sz w:val="18"/>
            <w:szCs w:val="18"/>
          </w:rPr>
        </w:pPr>
        <w:r w:rsidRPr="00896B54">
          <w:rPr>
            <w:rFonts w:ascii="Bookman Old Style" w:hAnsi="Bookman Old Style"/>
            <w:sz w:val="18"/>
            <w:szCs w:val="18"/>
          </w:rPr>
          <w:fldChar w:fldCharType="begin"/>
        </w:r>
        <w:r w:rsidRPr="00896B54">
          <w:rPr>
            <w:rFonts w:ascii="Bookman Old Style" w:hAnsi="Bookman Old Style"/>
            <w:sz w:val="18"/>
            <w:szCs w:val="18"/>
          </w:rPr>
          <w:instrText>PAGE   \* MERGEFORMAT</w:instrText>
        </w:r>
        <w:r w:rsidRPr="00896B54">
          <w:rPr>
            <w:rFonts w:ascii="Bookman Old Style" w:hAnsi="Bookman Old Style"/>
            <w:sz w:val="18"/>
            <w:szCs w:val="18"/>
          </w:rPr>
          <w:fldChar w:fldCharType="separate"/>
        </w:r>
        <w:r w:rsidR="0083728E">
          <w:rPr>
            <w:rFonts w:ascii="Bookman Old Style" w:hAnsi="Bookman Old Style"/>
            <w:noProof/>
            <w:sz w:val="18"/>
            <w:szCs w:val="18"/>
          </w:rPr>
          <w:t>17</w:t>
        </w:r>
        <w:r w:rsidRPr="00896B54">
          <w:rPr>
            <w:rFonts w:ascii="Bookman Old Style" w:hAnsi="Bookman Old Style"/>
            <w:sz w:val="18"/>
            <w:szCs w:val="18"/>
          </w:rPr>
          <w:fldChar w:fldCharType="end"/>
        </w:r>
      </w:p>
    </w:sdtContent>
  </w:sdt>
  <w:p w14:paraId="63EA7ABD" w14:textId="77777777" w:rsidR="00A83802" w:rsidRDefault="00A838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AF363" w14:textId="77777777" w:rsidR="003067D4" w:rsidRDefault="003067D4" w:rsidP="00B87A20">
      <w:r>
        <w:separator/>
      </w:r>
    </w:p>
  </w:footnote>
  <w:footnote w:type="continuationSeparator" w:id="0">
    <w:p w14:paraId="0626B438" w14:textId="77777777" w:rsidR="003067D4" w:rsidRDefault="003067D4" w:rsidP="00B87A20">
      <w:r>
        <w:continuationSeparator/>
      </w:r>
    </w:p>
  </w:footnote>
  <w:footnote w:id="1">
    <w:p w14:paraId="71FA3E43" w14:textId="77777777" w:rsidR="00DD509B" w:rsidRPr="00266A1D" w:rsidRDefault="00DD509B" w:rsidP="00DD509B">
      <w:pPr>
        <w:pStyle w:val="Textonotapie"/>
        <w:jc w:val="both"/>
        <w:rPr>
          <w:rFonts w:ascii="Bookman Old Style" w:hAnsi="Bookman Old Style"/>
          <w:iCs/>
          <w:bdr w:val="none" w:sz="0" w:space="0" w:color="auto" w:frame="1"/>
          <w:lang w:val="es-ES"/>
        </w:rPr>
      </w:pPr>
      <w:r>
        <w:rPr>
          <w:rStyle w:val="Refdenotaalpie"/>
        </w:rPr>
        <w:footnoteRef/>
      </w:r>
      <w:r>
        <w:t xml:space="preserve"> </w:t>
      </w:r>
      <w:r w:rsidRPr="00266A1D">
        <w:rPr>
          <w:rFonts w:ascii="Bookman Old Style" w:hAnsi="Bookman Old Style"/>
          <w:iCs/>
          <w:bdr w:val="none" w:sz="0" w:space="0" w:color="auto" w:frame="1"/>
          <w:lang w:val="es-ES"/>
        </w:rPr>
        <w:t>Corte Constitucional, Sentencia T-419 de 1994.</w:t>
      </w:r>
    </w:p>
    <w:p w14:paraId="2833974A" w14:textId="77777777" w:rsidR="00DD509B" w:rsidRPr="00266A1D" w:rsidRDefault="00DD509B" w:rsidP="00DD509B">
      <w:pPr>
        <w:pStyle w:val="Textonotapie"/>
        <w:jc w:val="both"/>
        <w:rPr>
          <w:rFonts w:ascii="Bookman Old Style" w:hAnsi="Bookman Old Style"/>
          <w:iCs/>
          <w:bdr w:val="none" w:sz="0" w:space="0" w:color="auto" w:frame="1"/>
          <w:lang w:val="es-ES"/>
        </w:rPr>
      </w:pPr>
    </w:p>
  </w:footnote>
  <w:footnote w:id="2">
    <w:p w14:paraId="5E3FAA9A" w14:textId="77777777" w:rsidR="00DD509B" w:rsidRPr="00266A1D" w:rsidRDefault="00DD509B" w:rsidP="00DD509B">
      <w:pPr>
        <w:pStyle w:val="Textonotapie"/>
        <w:jc w:val="both"/>
        <w:rPr>
          <w:rFonts w:ascii="Bookman Old Style" w:hAnsi="Bookman Old Style"/>
          <w:iCs/>
          <w:bdr w:val="none" w:sz="0" w:space="0" w:color="auto" w:frame="1"/>
          <w:lang w:val="es-ES"/>
        </w:rPr>
      </w:pPr>
      <w:r w:rsidRPr="00266A1D">
        <w:rPr>
          <w:rFonts w:ascii="Bookman Old Style" w:hAnsi="Bookman Old Style"/>
          <w:iCs/>
          <w:bdr w:val="none" w:sz="0" w:space="0" w:color="auto" w:frame="1"/>
          <w:lang w:val="es-ES"/>
        </w:rPr>
        <w:footnoteRef/>
      </w:r>
      <w:r w:rsidRPr="00266A1D">
        <w:rPr>
          <w:rFonts w:ascii="Bookman Old Style" w:hAnsi="Bookman Old Style"/>
          <w:iCs/>
          <w:bdr w:val="none" w:sz="0" w:space="0" w:color="auto" w:frame="1"/>
          <w:lang w:val="es-ES"/>
        </w:rPr>
        <w:t xml:space="preserve"> El artículo 168 de la Ley 906 establece que las sentencias y autos se notifican en la forma prevista en el canon 169 que establece: Artículo 169. Formas. Por regla general las providencias se notificarán a las partes en estrados.</w:t>
      </w:r>
    </w:p>
    <w:p w14:paraId="4B80C30A" w14:textId="77777777" w:rsidR="00DD509B" w:rsidRPr="00266A1D" w:rsidRDefault="00DD509B" w:rsidP="00DD509B">
      <w:pPr>
        <w:pStyle w:val="Textonotapie"/>
        <w:jc w:val="both"/>
        <w:rPr>
          <w:rFonts w:ascii="Bookman Old Style" w:hAnsi="Bookman Old Style"/>
          <w:iCs/>
          <w:bdr w:val="none" w:sz="0" w:space="0" w:color="auto" w:frame="1"/>
          <w:lang w:val="es-ES"/>
        </w:rPr>
      </w:pPr>
    </w:p>
    <w:p w14:paraId="25C74275" w14:textId="77777777" w:rsidR="00DD509B" w:rsidRPr="00266A1D" w:rsidRDefault="00DD509B" w:rsidP="00DD509B">
      <w:pPr>
        <w:pStyle w:val="Textonotapie"/>
        <w:jc w:val="both"/>
        <w:rPr>
          <w:rFonts w:ascii="Bookman Old Style" w:hAnsi="Bookman Old Style"/>
          <w:iCs/>
          <w:bdr w:val="none" w:sz="0" w:space="0" w:color="auto" w:frame="1"/>
          <w:lang w:val="es-ES"/>
        </w:rPr>
      </w:pPr>
      <w:r w:rsidRPr="00266A1D">
        <w:rPr>
          <w:rFonts w:ascii="Bookman Old Style" w:hAnsi="Bookman Old Style"/>
          <w:iCs/>
          <w:bdr w:val="none" w:sz="0" w:space="0" w:color="auto" w:frame="1"/>
          <w:lang w:val="es-ES"/>
        </w:rPr>
        <w:t>En caso de no comparecer a la audiencia a pesar de haberse hecho la citación oportunamente, se entenderá surtida la notificación salvo que la ausencia se justifique por fuerza mayor o caso fortuito. En este evento la notificación se entenderá realizada al momento de aceptarse la justificación.</w:t>
      </w:r>
    </w:p>
    <w:p w14:paraId="684D4497" w14:textId="77777777" w:rsidR="00DD509B" w:rsidRPr="00266A1D" w:rsidRDefault="00DD509B" w:rsidP="00DD509B">
      <w:pPr>
        <w:pStyle w:val="Textonotapie"/>
        <w:jc w:val="both"/>
        <w:rPr>
          <w:rFonts w:ascii="Bookman Old Style" w:hAnsi="Bookman Old Style"/>
          <w:iCs/>
          <w:bdr w:val="none" w:sz="0" w:space="0" w:color="auto" w:frame="1"/>
          <w:lang w:val="es-ES"/>
        </w:rPr>
      </w:pPr>
    </w:p>
    <w:p w14:paraId="774D36A2" w14:textId="77777777" w:rsidR="00DD509B" w:rsidRPr="00266A1D" w:rsidRDefault="00DD509B" w:rsidP="00DD509B">
      <w:pPr>
        <w:pStyle w:val="Textonotapie"/>
        <w:jc w:val="both"/>
        <w:rPr>
          <w:rFonts w:ascii="Bookman Old Style" w:hAnsi="Bookman Old Style"/>
          <w:iCs/>
          <w:bdr w:val="none" w:sz="0" w:space="0" w:color="auto" w:frame="1"/>
          <w:lang w:val="es-ES"/>
        </w:rPr>
      </w:pPr>
      <w:r w:rsidRPr="00266A1D">
        <w:rPr>
          <w:rFonts w:ascii="Bookman Old Style" w:hAnsi="Bookman Old Style"/>
          <w:iCs/>
          <w:bdr w:val="none" w:sz="0" w:space="0" w:color="auto" w:frame="1"/>
          <w:lang w:val="es-ES"/>
        </w:rPr>
        <w:t>De manera excepcional procederá la notificación mediante comunicación escrita dirigida por telegrama, correo certificado, facsímil, correo electrónico o cualquier otro medio idóneo que haya sido indicado por las partes.</w:t>
      </w:r>
    </w:p>
    <w:p w14:paraId="6835E6A0" w14:textId="77777777" w:rsidR="00DD509B" w:rsidRPr="00266A1D" w:rsidRDefault="00DD509B" w:rsidP="00DD509B">
      <w:pPr>
        <w:pStyle w:val="Textonotapie"/>
        <w:jc w:val="both"/>
        <w:rPr>
          <w:rFonts w:ascii="Bookman Old Style" w:hAnsi="Bookman Old Style"/>
          <w:iCs/>
          <w:bdr w:val="none" w:sz="0" w:space="0" w:color="auto" w:frame="1"/>
          <w:lang w:val="es-ES"/>
        </w:rPr>
      </w:pPr>
    </w:p>
    <w:p w14:paraId="76DD790A" w14:textId="77777777" w:rsidR="00DD509B" w:rsidRPr="00266A1D" w:rsidRDefault="00DD509B" w:rsidP="00DD509B">
      <w:pPr>
        <w:pStyle w:val="Textonotapie"/>
        <w:jc w:val="both"/>
        <w:rPr>
          <w:rFonts w:ascii="Bookman Old Style" w:hAnsi="Bookman Old Style"/>
          <w:iCs/>
          <w:bdr w:val="none" w:sz="0" w:space="0" w:color="auto" w:frame="1"/>
          <w:lang w:val="es-ES"/>
        </w:rPr>
      </w:pPr>
      <w:r w:rsidRPr="00266A1D">
        <w:rPr>
          <w:rFonts w:ascii="Bookman Old Style" w:hAnsi="Bookman Old Style"/>
          <w:iCs/>
          <w:bdr w:val="none" w:sz="0" w:space="0" w:color="auto" w:frame="1"/>
          <w:lang w:val="es-ES"/>
        </w:rPr>
        <w:t>Si el imputado o acusado se encontrare privado de la libertad, las providencias notificadas en audiencia le serán comunicadas en el establecimiento de reclusión, de lo cual se dejará la respectiva constancia.</w:t>
      </w:r>
    </w:p>
    <w:p w14:paraId="29796A92" w14:textId="77777777" w:rsidR="00DD509B" w:rsidRPr="00266A1D" w:rsidRDefault="00DD509B" w:rsidP="00DD509B">
      <w:pPr>
        <w:pStyle w:val="Textonotapie"/>
        <w:jc w:val="both"/>
        <w:rPr>
          <w:rFonts w:ascii="Bookman Old Style" w:hAnsi="Bookman Old Style"/>
          <w:iCs/>
          <w:bdr w:val="none" w:sz="0" w:space="0" w:color="auto" w:frame="1"/>
          <w:lang w:val="es-ES"/>
        </w:rPr>
      </w:pPr>
    </w:p>
    <w:p w14:paraId="31FA3948" w14:textId="77777777" w:rsidR="00DD509B" w:rsidRPr="00266A1D" w:rsidRDefault="00DD509B" w:rsidP="00DD509B">
      <w:pPr>
        <w:pStyle w:val="Textonotapie"/>
        <w:jc w:val="both"/>
        <w:rPr>
          <w:rFonts w:ascii="Bookman Old Style" w:hAnsi="Bookman Old Style"/>
          <w:iCs/>
          <w:bdr w:val="none" w:sz="0" w:space="0" w:color="auto" w:frame="1"/>
          <w:lang w:val="es-ES"/>
        </w:rPr>
      </w:pPr>
      <w:r w:rsidRPr="00266A1D">
        <w:rPr>
          <w:rFonts w:ascii="Bookman Old Style" w:hAnsi="Bookman Old Style"/>
          <w:iCs/>
          <w:bdr w:val="none" w:sz="0" w:space="0" w:color="auto" w:frame="1"/>
          <w:lang w:val="es-ES"/>
        </w:rPr>
        <w:t>Las decisiones adoptadas con posterioridad al vencimiento del término legal deberán ser notificadas personalmente a las partes que tuvieren vocación de impugnación. (Negrilla propia)</w:t>
      </w:r>
    </w:p>
  </w:footnote>
  <w:footnote w:id="3">
    <w:p w14:paraId="0A5E5CF2" w14:textId="77777777" w:rsidR="00D3489B" w:rsidRDefault="00D3489B" w:rsidP="00D3489B">
      <w:pPr>
        <w:pStyle w:val="Textonotapie"/>
        <w:jc w:val="both"/>
        <w:rPr>
          <w:rFonts w:ascii="Comic Sans MS" w:hAnsi="Comic Sans MS"/>
        </w:rPr>
      </w:pPr>
      <w:r>
        <w:rPr>
          <w:rStyle w:val="Refdenotaalpie"/>
        </w:rPr>
        <w:footnoteRef/>
      </w:r>
      <w:r>
        <w:t xml:space="preserve"> </w:t>
      </w:r>
      <w:r>
        <w:rPr>
          <w:lang w:val="es-MX"/>
        </w:rPr>
        <w:t>Tutela 12.825 del 21 de enero de 2003, Recurso de Queja 20.777 del 27 de mayo de 2003.</w:t>
      </w:r>
    </w:p>
  </w:footnote>
  <w:footnote w:id="4">
    <w:p w14:paraId="61205C1F" w14:textId="77777777" w:rsidR="00D3489B" w:rsidRPr="00DD509B" w:rsidRDefault="00D3489B" w:rsidP="00D3489B">
      <w:pPr>
        <w:pStyle w:val="Textonotapie"/>
        <w:jc w:val="both"/>
        <w:rPr>
          <w:rFonts w:ascii="Bookman Old Style" w:hAnsi="Bookman Old Style"/>
        </w:rPr>
      </w:pPr>
      <w:r>
        <w:rPr>
          <w:rStyle w:val="Refdenotaalpie"/>
          <w:rFonts w:ascii="Bookman Old Style" w:hAnsi="Bookman Old Style"/>
        </w:rPr>
        <w:footnoteRef/>
      </w:r>
      <w:r>
        <w:rPr>
          <w:rFonts w:ascii="Bookman Old Style" w:hAnsi="Bookman Old Style"/>
        </w:rPr>
        <w:t xml:space="preserve"> </w:t>
      </w:r>
      <w:r>
        <w:rPr>
          <w:rFonts w:ascii="Bookman Old Style" w:hAnsi="Bookman Old Style"/>
          <w:lang w:val="es-ES"/>
        </w:rPr>
        <w:t xml:space="preserve">La jurisprudencia constitucional ha sostenido insistentemente  que el </w:t>
      </w:r>
      <w:r>
        <w:rPr>
          <w:rFonts w:ascii="Bookman Old Style" w:hAnsi="Bookman Old Style"/>
          <w:b/>
          <w:i/>
          <w:lang w:val="es-ES"/>
        </w:rPr>
        <w:t>defecto procedimental absoluto</w:t>
      </w:r>
      <w:r>
        <w:rPr>
          <w:rFonts w:ascii="Bookman Old Style" w:hAnsi="Bookman Old Style"/>
          <w:lang w:val="es-ES"/>
        </w:rPr>
        <w:t xml:space="preserve"> se presenta cuando el funcionario judicial desconoce las formas propias de cada juicio, es decir, cuando </w:t>
      </w:r>
      <w:r>
        <w:rPr>
          <w:rFonts w:ascii="Bookman Old Style" w:hAnsi="Bookman Old Style"/>
          <w:i/>
          <w:lang w:val="es-ES"/>
        </w:rPr>
        <w:t xml:space="preserve">«se aparta por completo del procedimiento establecido legalmente para el trámite de un asunto específico, ya sea porque: </w:t>
      </w:r>
      <w:r>
        <w:rPr>
          <w:rFonts w:ascii="Bookman Old Style" w:hAnsi="Bookman Old Style"/>
          <w:b/>
          <w:i/>
          <w:lang w:val="es-ES"/>
        </w:rPr>
        <w:t>i) se ciñe a un trámite completamente ajeno al pertinente -desvía el cauce del asunto-</w:t>
      </w:r>
      <w:r>
        <w:rPr>
          <w:rFonts w:ascii="Bookman Old Style" w:hAnsi="Bookman Old Style"/>
          <w:i/>
          <w:lang w:val="es-ES"/>
        </w:rPr>
        <w:t xml:space="preserve">, o ii) omite etapas sustanciales del procedimiento establecido legalmente, </w:t>
      </w:r>
      <w:r>
        <w:rPr>
          <w:rFonts w:ascii="Bookman Old Style" w:hAnsi="Bookman Old Style"/>
          <w:b/>
          <w:i/>
          <w:lang w:val="es-ES"/>
        </w:rPr>
        <w:t>afectando el derecho de defensa y contradicción de una de las partes del proceso».</w:t>
      </w:r>
      <w:r>
        <w:rPr>
          <w:rFonts w:ascii="Bookman Old Style" w:hAnsi="Bookman Old Style"/>
          <w:i/>
          <w:lang w:val="es-ES"/>
        </w:rPr>
        <w:t xml:space="preserve"> </w:t>
      </w:r>
      <w:r>
        <w:rPr>
          <w:rFonts w:ascii="Bookman Old Style" w:hAnsi="Bookman Old Style"/>
          <w:lang w:val="es-ES"/>
        </w:rPr>
        <w:t>(Destaca la Sala). (Sentencia T-398/17)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D0C65" w14:textId="6C57AABE" w:rsidR="00C64EE4" w:rsidRDefault="00996C1F" w:rsidP="006F41A5">
    <w:pPr>
      <w:pStyle w:val="Encabezado"/>
      <w:spacing w:line="276" w:lineRule="auto"/>
      <w:jc w:val="right"/>
      <w:rPr>
        <w:rFonts w:ascii="Bookman Old Style" w:hAnsi="Bookman Old Style"/>
        <w:sz w:val="18"/>
        <w:szCs w:val="18"/>
      </w:rPr>
    </w:pPr>
    <w:r>
      <w:rPr>
        <w:rFonts w:ascii="Bookman Old Style" w:hAnsi="Bookman Old Style"/>
        <w:sz w:val="18"/>
        <w:szCs w:val="18"/>
      </w:rPr>
      <w:t>Tutela 2ª</w:t>
    </w:r>
    <w:r w:rsidR="00C64EE4">
      <w:rPr>
        <w:rFonts w:ascii="Bookman Old Style" w:hAnsi="Bookman Old Style"/>
        <w:sz w:val="18"/>
        <w:szCs w:val="18"/>
      </w:rPr>
      <w:t xml:space="preserve"> Instancia No. </w:t>
    </w:r>
    <w:r w:rsidR="00D3489B">
      <w:rPr>
        <w:rFonts w:ascii="Bookman Old Style" w:hAnsi="Bookman Old Style"/>
        <w:sz w:val="18"/>
        <w:szCs w:val="18"/>
      </w:rPr>
      <w:t>118027</w:t>
    </w:r>
  </w:p>
  <w:p w14:paraId="00D5C096" w14:textId="3404AB51" w:rsidR="00760983" w:rsidRDefault="00760983" w:rsidP="006F41A5">
    <w:pPr>
      <w:pStyle w:val="Encabezado"/>
      <w:spacing w:line="276" w:lineRule="auto"/>
      <w:jc w:val="right"/>
      <w:rPr>
        <w:rFonts w:ascii="Bookman Old Style" w:hAnsi="Bookman Old Style"/>
        <w:sz w:val="18"/>
        <w:szCs w:val="18"/>
      </w:rPr>
    </w:pPr>
    <w:r>
      <w:rPr>
        <w:rFonts w:ascii="Bookman Old Style" w:hAnsi="Bookman Old Style"/>
        <w:sz w:val="18"/>
        <w:szCs w:val="18"/>
      </w:rPr>
      <w:t>CUI:</w:t>
    </w:r>
    <w:r w:rsidR="00D3489B" w:rsidRPr="00D3489B">
      <w:t xml:space="preserve"> </w:t>
    </w:r>
    <w:r w:rsidR="00D3489B" w:rsidRPr="00D3489B">
      <w:rPr>
        <w:rFonts w:ascii="Bookman Old Style" w:hAnsi="Bookman Old Style"/>
        <w:sz w:val="18"/>
        <w:szCs w:val="18"/>
      </w:rPr>
      <w:t>20001220400320210023801</w:t>
    </w:r>
  </w:p>
  <w:p w14:paraId="1C18717E" w14:textId="5C7F6CDD" w:rsidR="00CC1767" w:rsidRPr="00047843" w:rsidRDefault="00C91C53" w:rsidP="00C91C53">
    <w:pPr>
      <w:pStyle w:val="Encabezado"/>
      <w:tabs>
        <w:tab w:val="left" w:pos="6315"/>
      </w:tabs>
      <w:spacing w:line="276" w:lineRule="auto"/>
      <w:ind w:left="708"/>
      <w:jc w:val="right"/>
      <w:rPr>
        <w:rFonts w:ascii="Bookman Old Style" w:hAnsi="Bookman Old Style"/>
        <w:sz w:val="18"/>
        <w:szCs w:val="18"/>
      </w:rPr>
    </w:pPr>
    <w:r>
      <w:rPr>
        <w:rFonts w:ascii="Bookman Old Style" w:hAnsi="Bookman Old Style"/>
        <w:sz w:val="18"/>
        <w:szCs w:val="18"/>
        <w:lang w:val="es-ES_tradnl"/>
      </w:rPr>
      <w:t xml:space="preserve">                                                                              </w:t>
    </w:r>
    <w:r w:rsidR="00D3489B" w:rsidRPr="00D3489B">
      <w:rPr>
        <w:rFonts w:ascii="Bookman Old Style" w:hAnsi="Bookman Old Style"/>
        <w:sz w:val="18"/>
        <w:szCs w:val="18"/>
        <w:lang w:val="es-ES_tradnl"/>
      </w:rPr>
      <w:t>Fernan Ortega Baquero</w:t>
    </w:r>
    <w:r w:rsidR="00162B30">
      <w:rPr>
        <w:rFonts w:ascii="Bookman Old Style" w:hAnsi="Bookman Old Style"/>
        <w:sz w:val="18"/>
        <w:szCs w:val="18"/>
      </w:rPr>
      <w:tab/>
    </w:r>
    <w:r w:rsidR="00162B30">
      <w:rPr>
        <w:rFonts w:ascii="Bookman Old Style" w:hAnsi="Bookman Old Style"/>
        <w:sz w:val="18"/>
        <w:szCs w:val="18"/>
      </w:rPr>
      <w:tab/>
    </w:r>
  </w:p>
  <w:p w14:paraId="031AF451" w14:textId="77777777" w:rsidR="00A83802" w:rsidRDefault="00A838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558CA" w14:textId="77777777" w:rsidR="00C64EE4" w:rsidRDefault="00AB3DB2" w:rsidP="00D036E3">
    <w:pPr>
      <w:pStyle w:val="Encabezado"/>
      <w:ind w:right="510"/>
      <w:jc w:val="center"/>
    </w:pPr>
    <w:r>
      <w:rPr>
        <w:rFonts w:ascii="Edwardian Script ITC" w:hAnsi="Edwardian Script ITC"/>
        <w:noProof/>
        <w:szCs w:val="28"/>
        <w:lang w:val="es-ES" w:eastAsia="es-ES"/>
      </w:rPr>
      <w:drawing>
        <wp:inline distT="0" distB="0" distL="0" distR="0" wp14:anchorId="49031133" wp14:editId="15B7A4ED">
          <wp:extent cx="1190625" cy="1714500"/>
          <wp:effectExtent l="0" t="0" r="9525" b="0"/>
          <wp:docPr id="1" name="Imagen 1" descr="PresidenciaPenalCologri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idenciaPenalCologris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1714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06715"/>
    <w:multiLevelType w:val="singleLevel"/>
    <w:tmpl w:val="7056909D"/>
    <w:lvl w:ilvl="0">
      <w:start w:val="1"/>
      <w:numFmt w:val="decimal"/>
      <w:lvlText w:val="%1."/>
      <w:lvlJc w:val="left"/>
      <w:pPr>
        <w:tabs>
          <w:tab w:val="num" w:pos="360"/>
        </w:tabs>
        <w:ind w:firstLine="792"/>
      </w:pPr>
      <w:rPr>
        <w:rFonts w:ascii="Bookman Old Style" w:hAnsi="Bookman Old Style" w:cs="Bookman Old Style"/>
        <w:snapToGrid/>
        <w:spacing w:val="-7"/>
        <w:w w:val="105"/>
        <w:sz w:val="27"/>
        <w:szCs w:val="27"/>
      </w:rPr>
    </w:lvl>
  </w:abstractNum>
  <w:abstractNum w:abstractNumId="1" w15:restartNumberingAfterBreak="0">
    <w:nsid w:val="00EF734C"/>
    <w:multiLevelType w:val="hybridMultilevel"/>
    <w:tmpl w:val="EF7E5284"/>
    <w:lvl w:ilvl="0" w:tplc="5726D39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14716F1"/>
    <w:multiLevelType w:val="hybridMultilevel"/>
    <w:tmpl w:val="F34A0290"/>
    <w:lvl w:ilvl="0" w:tplc="C9020A36">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 w15:restartNumberingAfterBreak="0">
    <w:nsid w:val="15F33B25"/>
    <w:multiLevelType w:val="hybridMultilevel"/>
    <w:tmpl w:val="64C2E308"/>
    <w:lvl w:ilvl="0" w:tplc="441A24FC">
      <w:start w:val="1"/>
      <w:numFmt w:val="decimal"/>
      <w:lvlText w:val="%1."/>
      <w:lvlJc w:val="left"/>
      <w:pPr>
        <w:ind w:left="927" w:hanging="360"/>
      </w:pPr>
      <w:rPr>
        <w:rFonts w:cs="Arial" w:hint="default"/>
        <w:i w:val="0"/>
        <w:sz w:val="28"/>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 w15:restartNumberingAfterBreak="0">
    <w:nsid w:val="35036322"/>
    <w:multiLevelType w:val="hybridMultilevel"/>
    <w:tmpl w:val="155E1720"/>
    <w:lvl w:ilvl="0" w:tplc="17244204">
      <w:numFmt w:val="bullet"/>
      <w:lvlText w:val="-"/>
      <w:lvlJc w:val="left"/>
      <w:pPr>
        <w:ind w:left="1069" w:hanging="360"/>
      </w:pPr>
      <w:rPr>
        <w:rFonts w:ascii="Bookman Old Style" w:eastAsiaTheme="minorHAnsi" w:hAnsi="Bookman Old Style" w:cstheme="minorBidi"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 w15:restartNumberingAfterBreak="0">
    <w:nsid w:val="386963DF"/>
    <w:multiLevelType w:val="hybridMultilevel"/>
    <w:tmpl w:val="99D64302"/>
    <w:lvl w:ilvl="0" w:tplc="C50A92D0">
      <w:start w:val="1"/>
      <w:numFmt w:val="decimal"/>
      <w:lvlText w:val="%1."/>
      <w:lvlJc w:val="left"/>
      <w:pPr>
        <w:ind w:left="1414" w:hanging="705"/>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3AB90B96"/>
    <w:multiLevelType w:val="hybridMultilevel"/>
    <w:tmpl w:val="FF5043DE"/>
    <w:lvl w:ilvl="0" w:tplc="59103E72">
      <w:start w:val="1"/>
      <w:numFmt w:val="lowerLetter"/>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7" w15:restartNumberingAfterBreak="0">
    <w:nsid w:val="3DBA599A"/>
    <w:multiLevelType w:val="hybridMultilevel"/>
    <w:tmpl w:val="7B3C15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6F36EC3"/>
    <w:multiLevelType w:val="hybridMultilevel"/>
    <w:tmpl w:val="F9EA37CC"/>
    <w:lvl w:ilvl="0" w:tplc="C9F07940">
      <w:start w:val="1"/>
      <w:numFmt w:val="decimal"/>
      <w:lvlText w:val="%1."/>
      <w:lvlJc w:val="left"/>
      <w:pPr>
        <w:ind w:left="1637" w:hanging="360"/>
      </w:pPr>
      <w:rPr>
        <w:rFonts w:hint="default"/>
      </w:rPr>
    </w:lvl>
    <w:lvl w:ilvl="1" w:tplc="0C0A0019" w:tentative="1">
      <w:start w:val="1"/>
      <w:numFmt w:val="lowerLetter"/>
      <w:lvlText w:val="%2."/>
      <w:lvlJc w:val="left"/>
      <w:pPr>
        <w:ind w:left="2357" w:hanging="360"/>
      </w:pPr>
    </w:lvl>
    <w:lvl w:ilvl="2" w:tplc="0C0A001B" w:tentative="1">
      <w:start w:val="1"/>
      <w:numFmt w:val="lowerRoman"/>
      <w:lvlText w:val="%3."/>
      <w:lvlJc w:val="right"/>
      <w:pPr>
        <w:ind w:left="3077" w:hanging="180"/>
      </w:pPr>
    </w:lvl>
    <w:lvl w:ilvl="3" w:tplc="0C0A000F" w:tentative="1">
      <w:start w:val="1"/>
      <w:numFmt w:val="decimal"/>
      <w:lvlText w:val="%4."/>
      <w:lvlJc w:val="left"/>
      <w:pPr>
        <w:ind w:left="3797" w:hanging="360"/>
      </w:pPr>
    </w:lvl>
    <w:lvl w:ilvl="4" w:tplc="0C0A0019" w:tentative="1">
      <w:start w:val="1"/>
      <w:numFmt w:val="lowerLetter"/>
      <w:lvlText w:val="%5."/>
      <w:lvlJc w:val="left"/>
      <w:pPr>
        <w:ind w:left="4517" w:hanging="360"/>
      </w:pPr>
    </w:lvl>
    <w:lvl w:ilvl="5" w:tplc="0C0A001B" w:tentative="1">
      <w:start w:val="1"/>
      <w:numFmt w:val="lowerRoman"/>
      <w:lvlText w:val="%6."/>
      <w:lvlJc w:val="right"/>
      <w:pPr>
        <w:ind w:left="5237" w:hanging="180"/>
      </w:pPr>
    </w:lvl>
    <w:lvl w:ilvl="6" w:tplc="0C0A000F" w:tentative="1">
      <w:start w:val="1"/>
      <w:numFmt w:val="decimal"/>
      <w:lvlText w:val="%7."/>
      <w:lvlJc w:val="left"/>
      <w:pPr>
        <w:ind w:left="5957" w:hanging="360"/>
      </w:pPr>
    </w:lvl>
    <w:lvl w:ilvl="7" w:tplc="0C0A0019" w:tentative="1">
      <w:start w:val="1"/>
      <w:numFmt w:val="lowerLetter"/>
      <w:lvlText w:val="%8."/>
      <w:lvlJc w:val="left"/>
      <w:pPr>
        <w:ind w:left="6677" w:hanging="360"/>
      </w:pPr>
    </w:lvl>
    <w:lvl w:ilvl="8" w:tplc="0C0A001B" w:tentative="1">
      <w:start w:val="1"/>
      <w:numFmt w:val="lowerRoman"/>
      <w:lvlText w:val="%9."/>
      <w:lvlJc w:val="right"/>
      <w:pPr>
        <w:ind w:left="7397" w:hanging="180"/>
      </w:pPr>
    </w:lvl>
  </w:abstractNum>
  <w:abstractNum w:abstractNumId="9" w15:restartNumberingAfterBreak="0">
    <w:nsid w:val="5BF35270"/>
    <w:multiLevelType w:val="hybridMultilevel"/>
    <w:tmpl w:val="F4E24E36"/>
    <w:lvl w:ilvl="0" w:tplc="AA38C0F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74C26D1"/>
    <w:multiLevelType w:val="hybridMultilevel"/>
    <w:tmpl w:val="4C4C9306"/>
    <w:lvl w:ilvl="0" w:tplc="1AA235FC">
      <w:start w:val="1"/>
      <w:numFmt w:val="decimal"/>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1" w15:restartNumberingAfterBreak="0">
    <w:nsid w:val="6FD2270D"/>
    <w:multiLevelType w:val="hybridMultilevel"/>
    <w:tmpl w:val="4524D020"/>
    <w:lvl w:ilvl="0" w:tplc="4C34F4F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9CF4CD7"/>
    <w:multiLevelType w:val="singleLevel"/>
    <w:tmpl w:val="1F64A626"/>
    <w:lvl w:ilvl="0">
      <w:start w:val="1"/>
      <w:numFmt w:val="upperRoman"/>
      <w:lvlText w:val="%1."/>
      <w:lvlJc w:val="left"/>
      <w:pPr>
        <w:tabs>
          <w:tab w:val="num" w:pos="1320"/>
        </w:tabs>
        <w:ind w:left="1320" w:hanging="720"/>
      </w:pPr>
      <w:rPr>
        <w:rFonts w:cs="Times New Roman" w:hint="default"/>
        <w:u w:val="none"/>
      </w:rPr>
    </w:lvl>
  </w:abstractNum>
  <w:num w:numId="1">
    <w:abstractNumId w:val="12"/>
  </w:num>
  <w:num w:numId="2">
    <w:abstractNumId w:val="4"/>
  </w:num>
  <w:num w:numId="3">
    <w:abstractNumId w:val="10"/>
  </w:num>
  <w:num w:numId="4">
    <w:abstractNumId w:val="6"/>
  </w:num>
  <w:num w:numId="5">
    <w:abstractNumId w:val="3"/>
  </w:num>
  <w:num w:numId="6">
    <w:abstractNumId w:val="11"/>
  </w:num>
  <w:num w:numId="7">
    <w:abstractNumId w:val="1"/>
  </w:num>
  <w:num w:numId="8">
    <w:abstractNumId w:val="7"/>
  </w:num>
  <w:num w:numId="9">
    <w:abstractNumId w:val="8"/>
  </w:num>
  <w:num w:numId="10">
    <w:abstractNumId w:val="2"/>
  </w:num>
  <w:num w:numId="11">
    <w:abstractNumId w:val="9"/>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71B"/>
    <w:rsid w:val="00000C81"/>
    <w:rsid w:val="00006F6F"/>
    <w:rsid w:val="00007A29"/>
    <w:rsid w:val="00011530"/>
    <w:rsid w:val="00011FEB"/>
    <w:rsid w:val="00012DFF"/>
    <w:rsid w:val="0001611C"/>
    <w:rsid w:val="00017417"/>
    <w:rsid w:val="00024FF0"/>
    <w:rsid w:val="00025F73"/>
    <w:rsid w:val="000277F7"/>
    <w:rsid w:val="00032576"/>
    <w:rsid w:val="00034581"/>
    <w:rsid w:val="00035264"/>
    <w:rsid w:val="00036734"/>
    <w:rsid w:val="000431EE"/>
    <w:rsid w:val="00046CE0"/>
    <w:rsid w:val="00047843"/>
    <w:rsid w:val="000518E6"/>
    <w:rsid w:val="00061684"/>
    <w:rsid w:val="00063374"/>
    <w:rsid w:val="00065930"/>
    <w:rsid w:val="00066CF6"/>
    <w:rsid w:val="00072E56"/>
    <w:rsid w:val="00073364"/>
    <w:rsid w:val="000774D8"/>
    <w:rsid w:val="0008028A"/>
    <w:rsid w:val="00080BBC"/>
    <w:rsid w:val="00081076"/>
    <w:rsid w:val="00082190"/>
    <w:rsid w:val="00082E60"/>
    <w:rsid w:val="0009040D"/>
    <w:rsid w:val="00097F62"/>
    <w:rsid w:val="000A1A7C"/>
    <w:rsid w:val="000A3CC1"/>
    <w:rsid w:val="000A7697"/>
    <w:rsid w:val="000B2CF3"/>
    <w:rsid w:val="000B3089"/>
    <w:rsid w:val="000B5C57"/>
    <w:rsid w:val="000B7FEA"/>
    <w:rsid w:val="000C0622"/>
    <w:rsid w:val="000C1522"/>
    <w:rsid w:val="000C19F8"/>
    <w:rsid w:val="000C522F"/>
    <w:rsid w:val="000C7963"/>
    <w:rsid w:val="000C7F5E"/>
    <w:rsid w:val="000D2CDE"/>
    <w:rsid w:val="000D61DF"/>
    <w:rsid w:val="000D7BDC"/>
    <w:rsid w:val="000E186B"/>
    <w:rsid w:val="000E74AE"/>
    <w:rsid w:val="000F68B9"/>
    <w:rsid w:val="000F74BC"/>
    <w:rsid w:val="000F7BF3"/>
    <w:rsid w:val="000F7F67"/>
    <w:rsid w:val="001006B9"/>
    <w:rsid w:val="0010351C"/>
    <w:rsid w:val="001043E4"/>
    <w:rsid w:val="00104686"/>
    <w:rsid w:val="00104C52"/>
    <w:rsid w:val="001058ED"/>
    <w:rsid w:val="00106E10"/>
    <w:rsid w:val="00112653"/>
    <w:rsid w:val="00115F03"/>
    <w:rsid w:val="0011636F"/>
    <w:rsid w:val="0011707F"/>
    <w:rsid w:val="001205F0"/>
    <w:rsid w:val="00120DB4"/>
    <w:rsid w:val="00126F45"/>
    <w:rsid w:val="001310B6"/>
    <w:rsid w:val="00136FEE"/>
    <w:rsid w:val="001372F7"/>
    <w:rsid w:val="00140593"/>
    <w:rsid w:val="00140A7D"/>
    <w:rsid w:val="00147BC9"/>
    <w:rsid w:val="00151C67"/>
    <w:rsid w:val="00151F49"/>
    <w:rsid w:val="00152094"/>
    <w:rsid w:val="00160A8E"/>
    <w:rsid w:val="00162B30"/>
    <w:rsid w:val="00163304"/>
    <w:rsid w:val="00167DB2"/>
    <w:rsid w:val="001730AA"/>
    <w:rsid w:val="00173D90"/>
    <w:rsid w:val="00177147"/>
    <w:rsid w:val="001771D4"/>
    <w:rsid w:val="0018312F"/>
    <w:rsid w:val="00190F17"/>
    <w:rsid w:val="0019689E"/>
    <w:rsid w:val="001A315D"/>
    <w:rsid w:val="001A4743"/>
    <w:rsid w:val="001A6855"/>
    <w:rsid w:val="001A75FE"/>
    <w:rsid w:val="001A7734"/>
    <w:rsid w:val="001B356C"/>
    <w:rsid w:val="001B772D"/>
    <w:rsid w:val="001C1E0F"/>
    <w:rsid w:val="001C42A9"/>
    <w:rsid w:val="001C489C"/>
    <w:rsid w:val="001D00A8"/>
    <w:rsid w:val="001D0228"/>
    <w:rsid w:val="001D6F7E"/>
    <w:rsid w:val="001E17B8"/>
    <w:rsid w:val="001E17F7"/>
    <w:rsid w:val="001E1BB1"/>
    <w:rsid w:val="001E6186"/>
    <w:rsid w:val="001F398A"/>
    <w:rsid w:val="00200333"/>
    <w:rsid w:val="00201AFE"/>
    <w:rsid w:val="00204F3E"/>
    <w:rsid w:val="0020664A"/>
    <w:rsid w:val="002066F8"/>
    <w:rsid w:val="002073E7"/>
    <w:rsid w:val="0021103C"/>
    <w:rsid w:val="00212E39"/>
    <w:rsid w:val="00225B9A"/>
    <w:rsid w:val="00226563"/>
    <w:rsid w:val="00230BD9"/>
    <w:rsid w:val="0023570E"/>
    <w:rsid w:val="00235CB3"/>
    <w:rsid w:val="00240EA1"/>
    <w:rsid w:val="00245B81"/>
    <w:rsid w:val="00247C3C"/>
    <w:rsid w:val="00247DC1"/>
    <w:rsid w:val="00251813"/>
    <w:rsid w:val="00261B6B"/>
    <w:rsid w:val="00262E63"/>
    <w:rsid w:val="00263A5E"/>
    <w:rsid w:val="0026559C"/>
    <w:rsid w:val="00266693"/>
    <w:rsid w:val="00266769"/>
    <w:rsid w:val="00267EF5"/>
    <w:rsid w:val="00272D00"/>
    <w:rsid w:val="002730C1"/>
    <w:rsid w:val="00275D80"/>
    <w:rsid w:val="00280C93"/>
    <w:rsid w:val="00292716"/>
    <w:rsid w:val="0029750B"/>
    <w:rsid w:val="002977BD"/>
    <w:rsid w:val="002A4DA0"/>
    <w:rsid w:val="002A5F50"/>
    <w:rsid w:val="002A647B"/>
    <w:rsid w:val="002B2FA9"/>
    <w:rsid w:val="002B3413"/>
    <w:rsid w:val="002B4F93"/>
    <w:rsid w:val="002B5017"/>
    <w:rsid w:val="002C1826"/>
    <w:rsid w:val="002C66CE"/>
    <w:rsid w:val="002D3664"/>
    <w:rsid w:val="002D6D8E"/>
    <w:rsid w:val="002E1EFA"/>
    <w:rsid w:val="002E227F"/>
    <w:rsid w:val="002E22C1"/>
    <w:rsid w:val="002E3D75"/>
    <w:rsid w:val="002E43AE"/>
    <w:rsid w:val="002F0F94"/>
    <w:rsid w:val="002F1461"/>
    <w:rsid w:val="002F34DA"/>
    <w:rsid w:val="002F3CEA"/>
    <w:rsid w:val="002F549F"/>
    <w:rsid w:val="002F7EC1"/>
    <w:rsid w:val="003045AA"/>
    <w:rsid w:val="003052A4"/>
    <w:rsid w:val="003067D4"/>
    <w:rsid w:val="00310E1F"/>
    <w:rsid w:val="00315148"/>
    <w:rsid w:val="003228FD"/>
    <w:rsid w:val="003233A6"/>
    <w:rsid w:val="00323965"/>
    <w:rsid w:val="0032670D"/>
    <w:rsid w:val="00326DDC"/>
    <w:rsid w:val="0032704E"/>
    <w:rsid w:val="003313C1"/>
    <w:rsid w:val="00332AF9"/>
    <w:rsid w:val="00332FFF"/>
    <w:rsid w:val="00333BC5"/>
    <w:rsid w:val="00334D8C"/>
    <w:rsid w:val="00341CE2"/>
    <w:rsid w:val="00343045"/>
    <w:rsid w:val="00344355"/>
    <w:rsid w:val="0034668F"/>
    <w:rsid w:val="003506AB"/>
    <w:rsid w:val="00354DDB"/>
    <w:rsid w:val="0036011F"/>
    <w:rsid w:val="0037146E"/>
    <w:rsid w:val="00374126"/>
    <w:rsid w:val="0037474E"/>
    <w:rsid w:val="00383B1A"/>
    <w:rsid w:val="00385ADE"/>
    <w:rsid w:val="0039099A"/>
    <w:rsid w:val="003A255E"/>
    <w:rsid w:val="003A2F56"/>
    <w:rsid w:val="003A4797"/>
    <w:rsid w:val="003A5826"/>
    <w:rsid w:val="003B222B"/>
    <w:rsid w:val="003B3830"/>
    <w:rsid w:val="003B50DE"/>
    <w:rsid w:val="003C20EB"/>
    <w:rsid w:val="003C256E"/>
    <w:rsid w:val="003C3194"/>
    <w:rsid w:val="003C6E7A"/>
    <w:rsid w:val="003D20C9"/>
    <w:rsid w:val="003D7FCD"/>
    <w:rsid w:val="003E0483"/>
    <w:rsid w:val="003E1DDD"/>
    <w:rsid w:val="003E7BE1"/>
    <w:rsid w:val="003F08E7"/>
    <w:rsid w:val="003F0DAE"/>
    <w:rsid w:val="003F2BC8"/>
    <w:rsid w:val="003F3456"/>
    <w:rsid w:val="003F3C31"/>
    <w:rsid w:val="00400143"/>
    <w:rsid w:val="00400E91"/>
    <w:rsid w:val="0040331B"/>
    <w:rsid w:val="004033A3"/>
    <w:rsid w:val="0040526C"/>
    <w:rsid w:val="004061BE"/>
    <w:rsid w:val="00411216"/>
    <w:rsid w:val="004146C3"/>
    <w:rsid w:val="0041737B"/>
    <w:rsid w:val="004233C7"/>
    <w:rsid w:val="00425D47"/>
    <w:rsid w:val="00427120"/>
    <w:rsid w:val="00432824"/>
    <w:rsid w:val="00433CA7"/>
    <w:rsid w:val="00440D20"/>
    <w:rsid w:val="00446746"/>
    <w:rsid w:val="00451052"/>
    <w:rsid w:val="00451069"/>
    <w:rsid w:val="00455788"/>
    <w:rsid w:val="0045580B"/>
    <w:rsid w:val="00455EDF"/>
    <w:rsid w:val="00457212"/>
    <w:rsid w:val="00460028"/>
    <w:rsid w:val="0046521C"/>
    <w:rsid w:val="0046607C"/>
    <w:rsid w:val="00467851"/>
    <w:rsid w:val="00472D60"/>
    <w:rsid w:val="00476786"/>
    <w:rsid w:val="00476999"/>
    <w:rsid w:val="00482DED"/>
    <w:rsid w:val="00485278"/>
    <w:rsid w:val="00486918"/>
    <w:rsid w:val="00486959"/>
    <w:rsid w:val="00492A57"/>
    <w:rsid w:val="004938B5"/>
    <w:rsid w:val="004A3A72"/>
    <w:rsid w:val="004A4FB0"/>
    <w:rsid w:val="004A6DCB"/>
    <w:rsid w:val="004A737B"/>
    <w:rsid w:val="004B2F3D"/>
    <w:rsid w:val="004B494C"/>
    <w:rsid w:val="004B59FF"/>
    <w:rsid w:val="004C4689"/>
    <w:rsid w:val="004D060B"/>
    <w:rsid w:val="004D1E81"/>
    <w:rsid w:val="004D2346"/>
    <w:rsid w:val="004D3ED1"/>
    <w:rsid w:val="004E2E7C"/>
    <w:rsid w:val="004E60AE"/>
    <w:rsid w:val="004E6523"/>
    <w:rsid w:val="004E66DB"/>
    <w:rsid w:val="004F0C19"/>
    <w:rsid w:val="004F0FC6"/>
    <w:rsid w:val="004F1E51"/>
    <w:rsid w:val="004F26D1"/>
    <w:rsid w:val="004F30D0"/>
    <w:rsid w:val="004F4095"/>
    <w:rsid w:val="00500C61"/>
    <w:rsid w:val="0050616A"/>
    <w:rsid w:val="00507629"/>
    <w:rsid w:val="00513E00"/>
    <w:rsid w:val="00515867"/>
    <w:rsid w:val="0052338E"/>
    <w:rsid w:val="00523D8E"/>
    <w:rsid w:val="005279ED"/>
    <w:rsid w:val="00527A44"/>
    <w:rsid w:val="005357E1"/>
    <w:rsid w:val="005368F0"/>
    <w:rsid w:val="005423ED"/>
    <w:rsid w:val="00542D9E"/>
    <w:rsid w:val="00542EBC"/>
    <w:rsid w:val="00544953"/>
    <w:rsid w:val="0054538F"/>
    <w:rsid w:val="00546076"/>
    <w:rsid w:val="00546EB8"/>
    <w:rsid w:val="00552A5F"/>
    <w:rsid w:val="00554000"/>
    <w:rsid w:val="00556A51"/>
    <w:rsid w:val="00560B72"/>
    <w:rsid w:val="005619BB"/>
    <w:rsid w:val="00565B21"/>
    <w:rsid w:val="00566A75"/>
    <w:rsid w:val="00567EF8"/>
    <w:rsid w:val="00570828"/>
    <w:rsid w:val="00574192"/>
    <w:rsid w:val="0057469F"/>
    <w:rsid w:val="00574739"/>
    <w:rsid w:val="0057624E"/>
    <w:rsid w:val="00582384"/>
    <w:rsid w:val="00583984"/>
    <w:rsid w:val="005874B8"/>
    <w:rsid w:val="00587897"/>
    <w:rsid w:val="005940D5"/>
    <w:rsid w:val="00594DCF"/>
    <w:rsid w:val="00595340"/>
    <w:rsid w:val="005A47EA"/>
    <w:rsid w:val="005A502B"/>
    <w:rsid w:val="005A6C8D"/>
    <w:rsid w:val="005B1587"/>
    <w:rsid w:val="005B3563"/>
    <w:rsid w:val="005B4BA5"/>
    <w:rsid w:val="005C348B"/>
    <w:rsid w:val="005E34F4"/>
    <w:rsid w:val="005E4567"/>
    <w:rsid w:val="005E5CDE"/>
    <w:rsid w:val="005E7B2B"/>
    <w:rsid w:val="005F3573"/>
    <w:rsid w:val="005F4790"/>
    <w:rsid w:val="00604EB1"/>
    <w:rsid w:val="00605192"/>
    <w:rsid w:val="00615331"/>
    <w:rsid w:val="0061682E"/>
    <w:rsid w:val="00616F0C"/>
    <w:rsid w:val="006200FF"/>
    <w:rsid w:val="00620C86"/>
    <w:rsid w:val="00625192"/>
    <w:rsid w:val="006251B0"/>
    <w:rsid w:val="00625965"/>
    <w:rsid w:val="00634F56"/>
    <w:rsid w:val="00635375"/>
    <w:rsid w:val="0064699A"/>
    <w:rsid w:val="00652CBE"/>
    <w:rsid w:val="00653857"/>
    <w:rsid w:val="00653A70"/>
    <w:rsid w:val="006541C1"/>
    <w:rsid w:val="00660221"/>
    <w:rsid w:val="00662669"/>
    <w:rsid w:val="00667C12"/>
    <w:rsid w:val="006727D8"/>
    <w:rsid w:val="00673748"/>
    <w:rsid w:val="0067381E"/>
    <w:rsid w:val="006760DF"/>
    <w:rsid w:val="00680821"/>
    <w:rsid w:val="006809F8"/>
    <w:rsid w:val="006822D1"/>
    <w:rsid w:val="006832F3"/>
    <w:rsid w:val="00683BDD"/>
    <w:rsid w:val="00685F95"/>
    <w:rsid w:val="0068601F"/>
    <w:rsid w:val="0069079A"/>
    <w:rsid w:val="00691250"/>
    <w:rsid w:val="00693B5B"/>
    <w:rsid w:val="00694D49"/>
    <w:rsid w:val="006951FE"/>
    <w:rsid w:val="006A7C95"/>
    <w:rsid w:val="006B24FA"/>
    <w:rsid w:val="006B3FD9"/>
    <w:rsid w:val="006C34A7"/>
    <w:rsid w:val="006C58E1"/>
    <w:rsid w:val="006D1E8E"/>
    <w:rsid w:val="006D28E7"/>
    <w:rsid w:val="006D69FC"/>
    <w:rsid w:val="006D746E"/>
    <w:rsid w:val="006E167F"/>
    <w:rsid w:val="006E47D7"/>
    <w:rsid w:val="006F41A5"/>
    <w:rsid w:val="006F45A1"/>
    <w:rsid w:val="006F7F16"/>
    <w:rsid w:val="006F7F71"/>
    <w:rsid w:val="007001F7"/>
    <w:rsid w:val="0070320C"/>
    <w:rsid w:val="00704EA6"/>
    <w:rsid w:val="007077C9"/>
    <w:rsid w:val="0071017E"/>
    <w:rsid w:val="00711553"/>
    <w:rsid w:val="00712CAA"/>
    <w:rsid w:val="007140AB"/>
    <w:rsid w:val="007143C9"/>
    <w:rsid w:val="0071456B"/>
    <w:rsid w:val="0071479F"/>
    <w:rsid w:val="00715FF4"/>
    <w:rsid w:val="007167C2"/>
    <w:rsid w:val="00716E3E"/>
    <w:rsid w:val="00721D86"/>
    <w:rsid w:val="0072511A"/>
    <w:rsid w:val="007258E8"/>
    <w:rsid w:val="0072693B"/>
    <w:rsid w:val="00736D56"/>
    <w:rsid w:val="00747765"/>
    <w:rsid w:val="00756578"/>
    <w:rsid w:val="00756F0A"/>
    <w:rsid w:val="00760983"/>
    <w:rsid w:val="00763B16"/>
    <w:rsid w:val="007675B1"/>
    <w:rsid w:val="007706C5"/>
    <w:rsid w:val="00775037"/>
    <w:rsid w:val="007815EF"/>
    <w:rsid w:val="00782EA9"/>
    <w:rsid w:val="00782FC6"/>
    <w:rsid w:val="00783B17"/>
    <w:rsid w:val="00790993"/>
    <w:rsid w:val="007939C1"/>
    <w:rsid w:val="007969FF"/>
    <w:rsid w:val="00797F51"/>
    <w:rsid w:val="007A0887"/>
    <w:rsid w:val="007A0EED"/>
    <w:rsid w:val="007A287F"/>
    <w:rsid w:val="007A3BB6"/>
    <w:rsid w:val="007B1594"/>
    <w:rsid w:val="007B2C4E"/>
    <w:rsid w:val="007B467C"/>
    <w:rsid w:val="007B479F"/>
    <w:rsid w:val="007B490A"/>
    <w:rsid w:val="007B607F"/>
    <w:rsid w:val="007C5B68"/>
    <w:rsid w:val="007C6920"/>
    <w:rsid w:val="007D1596"/>
    <w:rsid w:val="007D435E"/>
    <w:rsid w:val="007D653C"/>
    <w:rsid w:val="007D7571"/>
    <w:rsid w:val="007F5240"/>
    <w:rsid w:val="007F6A6B"/>
    <w:rsid w:val="008028FE"/>
    <w:rsid w:val="00802DAC"/>
    <w:rsid w:val="008043B4"/>
    <w:rsid w:val="00804B00"/>
    <w:rsid w:val="0080548E"/>
    <w:rsid w:val="00816562"/>
    <w:rsid w:val="00820B10"/>
    <w:rsid w:val="00820FCA"/>
    <w:rsid w:val="008210AB"/>
    <w:rsid w:val="008219DD"/>
    <w:rsid w:val="00831384"/>
    <w:rsid w:val="00835413"/>
    <w:rsid w:val="00836882"/>
    <w:rsid w:val="0083728E"/>
    <w:rsid w:val="0084050D"/>
    <w:rsid w:val="00843C5B"/>
    <w:rsid w:val="008525B7"/>
    <w:rsid w:val="00852D30"/>
    <w:rsid w:val="00857850"/>
    <w:rsid w:val="00865E04"/>
    <w:rsid w:val="00867365"/>
    <w:rsid w:val="00882EC1"/>
    <w:rsid w:val="00887078"/>
    <w:rsid w:val="008870AB"/>
    <w:rsid w:val="00890D3B"/>
    <w:rsid w:val="00896B54"/>
    <w:rsid w:val="00897400"/>
    <w:rsid w:val="008A240A"/>
    <w:rsid w:val="008A788A"/>
    <w:rsid w:val="008B75D9"/>
    <w:rsid w:val="008C3B55"/>
    <w:rsid w:val="008D0D08"/>
    <w:rsid w:val="008D1B73"/>
    <w:rsid w:val="008D597E"/>
    <w:rsid w:val="008D75B5"/>
    <w:rsid w:val="008E2490"/>
    <w:rsid w:val="008E292D"/>
    <w:rsid w:val="008E5474"/>
    <w:rsid w:val="008E5835"/>
    <w:rsid w:val="008E5A7E"/>
    <w:rsid w:val="008F3A8E"/>
    <w:rsid w:val="008F4ACD"/>
    <w:rsid w:val="008F52E6"/>
    <w:rsid w:val="0090208E"/>
    <w:rsid w:val="00902EA1"/>
    <w:rsid w:val="009066A8"/>
    <w:rsid w:val="0090690D"/>
    <w:rsid w:val="00911226"/>
    <w:rsid w:val="00911597"/>
    <w:rsid w:val="0091341A"/>
    <w:rsid w:val="00920718"/>
    <w:rsid w:val="0092179E"/>
    <w:rsid w:val="00921958"/>
    <w:rsid w:val="009253EE"/>
    <w:rsid w:val="00936304"/>
    <w:rsid w:val="00940A09"/>
    <w:rsid w:val="00942E36"/>
    <w:rsid w:val="009457BC"/>
    <w:rsid w:val="009504AB"/>
    <w:rsid w:val="0095171B"/>
    <w:rsid w:val="00957BF4"/>
    <w:rsid w:val="00961248"/>
    <w:rsid w:val="00961539"/>
    <w:rsid w:val="00966F67"/>
    <w:rsid w:val="00967FAC"/>
    <w:rsid w:val="0097535A"/>
    <w:rsid w:val="00976BF5"/>
    <w:rsid w:val="009800F3"/>
    <w:rsid w:val="009827F7"/>
    <w:rsid w:val="00982A06"/>
    <w:rsid w:val="00984180"/>
    <w:rsid w:val="00985E0F"/>
    <w:rsid w:val="00995D18"/>
    <w:rsid w:val="00996C1F"/>
    <w:rsid w:val="009A078C"/>
    <w:rsid w:val="009A11C7"/>
    <w:rsid w:val="009A47B3"/>
    <w:rsid w:val="009A5C8A"/>
    <w:rsid w:val="009B5C8A"/>
    <w:rsid w:val="009B6BEF"/>
    <w:rsid w:val="009B6E98"/>
    <w:rsid w:val="009C11ED"/>
    <w:rsid w:val="009C2824"/>
    <w:rsid w:val="009C56FE"/>
    <w:rsid w:val="009D3411"/>
    <w:rsid w:val="009D4CCD"/>
    <w:rsid w:val="009D6398"/>
    <w:rsid w:val="009E0797"/>
    <w:rsid w:val="009E1F10"/>
    <w:rsid w:val="009E3F68"/>
    <w:rsid w:val="009E40B4"/>
    <w:rsid w:val="009E4279"/>
    <w:rsid w:val="009E5926"/>
    <w:rsid w:val="009E5D58"/>
    <w:rsid w:val="009F3087"/>
    <w:rsid w:val="009F7841"/>
    <w:rsid w:val="00A00002"/>
    <w:rsid w:val="00A00AE9"/>
    <w:rsid w:val="00A023A9"/>
    <w:rsid w:val="00A026D4"/>
    <w:rsid w:val="00A030D7"/>
    <w:rsid w:val="00A05AE9"/>
    <w:rsid w:val="00A06A44"/>
    <w:rsid w:val="00A07B53"/>
    <w:rsid w:val="00A126E7"/>
    <w:rsid w:val="00A12D44"/>
    <w:rsid w:val="00A20C3C"/>
    <w:rsid w:val="00A2501C"/>
    <w:rsid w:val="00A25F82"/>
    <w:rsid w:val="00A26D29"/>
    <w:rsid w:val="00A27BFE"/>
    <w:rsid w:val="00A36E25"/>
    <w:rsid w:val="00A4397C"/>
    <w:rsid w:val="00A43DE5"/>
    <w:rsid w:val="00A46BBD"/>
    <w:rsid w:val="00A52686"/>
    <w:rsid w:val="00A527C4"/>
    <w:rsid w:val="00A5754C"/>
    <w:rsid w:val="00A575C2"/>
    <w:rsid w:val="00A57FA9"/>
    <w:rsid w:val="00A63B01"/>
    <w:rsid w:val="00A65565"/>
    <w:rsid w:val="00A667AB"/>
    <w:rsid w:val="00A67082"/>
    <w:rsid w:val="00A67C25"/>
    <w:rsid w:val="00A705BD"/>
    <w:rsid w:val="00A777EC"/>
    <w:rsid w:val="00A809D5"/>
    <w:rsid w:val="00A83802"/>
    <w:rsid w:val="00A86F49"/>
    <w:rsid w:val="00A900F1"/>
    <w:rsid w:val="00A9188E"/>
    <w:rsid w:val="00A91C35"/>
    <w:rsid w:val="00A93D1E"/>
    <w:rsid w:val="00A969C2"/>
    <w:rsid w:val="00AA1876"/>
    <w:rsid w:val="00AA372B"/>
    <w:rsid w:val="00AA3C9A"/>
    <w:rsid w:val="00AA415F"/>
    <w:rsid w:val="00AA45FF"/>
    <w:rsid w:val="00AB1F35"/>
    <w:rsid w:val="00AB2342"/>
    <w:rsid w:val="00AB23C9"/>
    <w:rsid w:val="00AB3DB2"/>
    <w:rsid w:val="00AB43CE"/>
    <w:rsid w:val="00AB6B61"/>
    <w:rsid w:val="00AC6DE9"/>
    <w:rsid w:val="00AD1AA7"/>
    <w:rsid w:val="00AD4197"/>
    <w:rsid w:val="00AD694F"/>
    <w:rsid w:val="00AD6A67"/>
    <w:rsid w:val="00AE05ED"/>
    <w:rsid w:val="00AE0E3B"/>
    <w:rsid w:val="00AF0304"/>
    <w:rsid w:val="00AF28EF"/>
    <w:rsid w:val="00AF4485"/>
    <w:rsid w:val="00AF64BA"/>
    <w:rsid w:val="00AF6621"/>
    <w:rsid w:val="00AF662A"/>
    <w:rsid w:val="00B001CE"/>
    <w:rsid w:val="00B0146B"/>
    <w:rsid w:val="00B026B1"/>
    <w:rsid w:val="00B06A80"/>
    <w:rsid w:val="00B15019"/>
    <w:rsid w:val="00B20002"/>
    <w:rsid w:val="00B225B2"/>
    <w:rsid w:val="00B243AE"/>
    <w:rsid w:val="00B25695"/>
    <w:rsid w:val="00B2746F"/>
    <w:rsid w:val="00B30637"/>
    <w:rsid w:val="00B30BE3"/>
    <w:rsid w:val="00B31685"/>
    <w:rsid w:val="00B32C81"/>
    <w:rsid w:val="00B342F1"/>
    <w:rsid w:val="00B365E4"/>
    <w:rsid w:val="00B37479"/>
    <w:rsid w:val="00B408C5"/>
    <w:rsid w:val="00B418E2"/>
    <w:rsid w:val="00B4627F"/>
    <w:rsid w:val="00B47823"/>
    <w:rsid w:val="00B55AE6"/>
    <w:rsid w:val="00B56B6A"/>
    <w:rsid w:val="00B56D20"/>
    <w:rsid w:val="00B63702"/>
    <w:rsid w:val="00B664F8"/>
    <w:rsid w:val="00B66814"/>
    <w:rsid w:val="00B76768"/>
    <w:rsid w:val="00B7710F"/>
    <w:rsid w:val="00B80D98"/>
    <w:rsid w:val="00B84569"/>
    <w:rsid w:val="00B84767"/>
    <w:rsid w:val="00B84CF2"/>
    <w:rsid w:val="00B87985"/>
    <w:rsid w:val="00B87A20"/>
    <w:rsid w:val="00B87BEB"/>
    <w:rsid w:val="00B952E6"/>
    <w:rsid w:val="00BA00C4"/>
    <w:rsid w:val="00BA0490"/>
    <w:rsid w:val="00BA0F8C"/>
    <w:rsid w:val="00BA2E50"/>
    <w:rsid w:val="00BB0B78"/>
    <w:rsid w:val="00BB1AD8"/>
    <w:rsid w:val="00BB2F51"/>
    <w:rsid w:val="00BC263D"/>
    <w:rsid w:val="00BC4FEF"/>
    <w:rsid w:val="00BD0772"/>
    <w:rsid w:val="00BD091A"/>
    <w:rsid w:val="00BD467D"/>
    <w:rsid w:val="00BD584C"/>
    <w:rsid w:val="00BD6965"/>
    <w:rsid w:val="00BE04D3"/>
    <w:rsid w:val="00BE5B45"/>
    <w:rsid w:val="00BF13E7"/>
    <w:rsid w:val="00BF1761"/>
    <w:rsid w:val="00BF3882"/>
    <w:rsid w:val="00BF57C9"/>
    <w:rsid w:val="00C016A0"/>
    <w:rsid w:val="00C02178"/>
    <w:rsid w:val="00C0257F"/>
    <w:rsid w:val="00C027A3"/>
    <w:rsid w:val="00C05A9C"/>
    <w:rsid w:val="00C110D4"/>
    <w:rsid w:val="00C12D97"/>
    <w:rsid w:val="00C138E8"/>
    <w:rsid w:val="00C1568F"/>
    <w:rsid w:val="00C1661A"/>
    <w:rsid w:val="00C1735C"/>
    <w:rsid w:val="00C2064B"/>
    <w:rsid w:val="00C24D84"/>
    <w:rsid w:val="00C26F77"/>
    <w:rsid w:val="00C3060D"/>
    <w:rsid w:val="00C312E1"/>
    <w:rsid w:val="00C35E52"/>
    <w:rsid w:val="00C40BA4"/>
    <w:rsid w:val="00C46CE8"/>
    <w:rsid w:val="00C55B79"/>
    <w:rsid w:val="00C60332"/>
    <w:rsid w:val="00C606D4"/>
    <w:rsid w:val="00C64EE4"/>
    <w:rsid w:val="00C701CE"/>
    <w:rsid w:val="00C75D42"/>
    <w:rsid w:val="00C81C0B"/>
    <w:rsid w:val="00C826A0"/>
    <w:rsid w:val="00C84AD3"/>
    <w:rsid w:val="00C866C9"/>
    <w:rsid w:val="00C86ED5"/>
    <w:rsid w:val="00C91C53"/>
    <w:rsid w:val="00C9296B"/>
    <w:rsid w:val="00C929D1"/>
    <w:rsid w:val="00C94682"/>
    <w:rsid w:val="00CA4825"/>
    <w:rsid w:val="00CA5D33"/>
    <w:rsid w:val="00CB062B"/>
    <w:rsid w:val="00CB09B1"/>
    <w:rsid w:val="00CB16A9"/>
    <w:rsid w:val="00CB4C88"/>
    <w:rsid w:val="00CB4E0B"/>
    <w:rsid w:val="00CC1767"/>
    <w:rsid w:val="00CC4418"/>
    <w:rsid w:val="00CC4CE4"/>
    <w:rsid w:val="00CC6D30"/>
    <w:rsid w:val="00CC6D8A"/>
    <w:rsid w:val="00CC79DD"/>
    <w:rsid w:val="00CD054B"/>
    <w:rsid w:val="00CD1E57"/>
    <w:rsid w:val="00CD4ECF"/>
    <w:rsid w:val="00CD6B2C"/>
    <w:rsid w:val="00CE35B0"/>
    <w:rsid w:val="00CE7944"/>
    <w:rsid w:val="00CE79CE"/>
    <w:rsid w:val="00CF13ED"/>
    <w:rsid w:val="00CF62B0"/>
    <w:rsid w:val="00CF7AFA"/>
    <w:rsid w:val="00D0356D"/>
    <w:rsid w:val="00D036E3"/>
    <w:rsid w:val="00D04427"/>
    <w:rsid w:val="00D101D1"/>
    <w:rsid w:val="00D103D2"/>
    <w:rsid w:val="00D11C17"/>
    <w:rsid w:val="00D126E8"/>
    <w:rsid w:val="00D156C6"/>
    <w:rsid w:val="00D1577A"/>
    <w:rsid w:val="00D210A8"/>
    <w:rsid w:val="00D21F73"/>
    <w:rsid w:val="00D2504D"/>
    <w:rsid w:val="00D25842"/>
    <w:rsid w:val="00D26A7B"/>
    <w:rsid w:val="00D26B4A"/>
    <w:rsid w:val="00D31733"/>
    <w:rsid w:val="00D34236"/>
    <w:rsid w:val="00D3489B"/>
    <w:rsid w:val="00D40F0D"/>
    <w:rsid w:val="00D41157"/>
    <w:rsid w:val="00D4662D"/>
    <w:rsid w:val="00D4669B"/>
    <w:rsid w:val="00D47680"/>
    <w:rsid w:val="00D50D94"/>
    <w:rsid w:val="00D51919"/>
    <w:rsid w:val="00D5204B"/>
    <w:rsid w:val="00D60502"/>
    <w:rsid w:val="00D616D1"/>
    <w:rsid w:val="00D62CDA"/>
    <w:rsid w:val="00D64213"/>
    <w:rsid w:val="00D645B4"/>
    <w:rsid w:val="00D70D4D"/>
    <w:rsid w:val="00D760D3"/>
    <w:rsid w:val="00D77A42"/>
    <w:rsid w:val="00D84A2A"/>
    <w:rsid w:val="00D87FEE"/>
    <w:rsid w:val="00D94408"/>
    <w:rsid w:val="00D95211"/>
    <w:rsid w:val="00D957FD"/>
    <w:rsid w:val="00DB1E03"/>
    <w:rsid w:val="00DB257E"/>
    <w:rsid w:val="00DB3E8F"/>
    <w:rsid w:val="00DB765D"/>
    <w:rsid w:val="00DC0375"/>
    <w:rsid w:val="00DC20A7"/>
    <w:rsid w:val="00DC3660"/>
    <w:rsid w:val="00DC4FE8"/>
    <w:rsid w:val="00DC5C37"/>
    <w:rsid w:val="00DC75A4"/>
    <w:rsid w:val="00DC779E"/>
    <w:rsid w:val="00DD2366"/>
    <w:rsid w:val="00DD3CB0"/>
    <w:rsid w:val="00DD509B"/>
    <w:rsid w:val="00DD5B77"/>
    <w:rsid w:val="00DD7063"/>
    <w:rsid w:val="00DE075C"/>
    <w:rsid w:val="00DE117D"/>
    <w:rsid w:val="00DE62D6"/>
    <w:rsid w:val="00DE7755"/>
    <w:rsid w:val="00DF007C"/>
    <w:rsid w:val="00DF142F"/>
    <w:rsid w:val="00E002C2"/>
    <w:rsid w:val="00E00EE1"/>
    <w:rsid w:val="00E07071"/>
    <w:rsid w:val="00E107B4"/>
    <w:rsid w:val="00E13B23"/>
    <w:rsid w:val="00E14BB5"/>
    <w:rsid w:val="00E207D0"/>
    <w:rsid w:val="00E209B8"/>
    <w:rsid w:val="00E22683"/>
    <w:rsid w:val="00E23380"/>
    <w:rsid w:val="00E23D8A"/>
    <w:rsid w:val="00E24345"/>
    <w:rsid w:val="00E246DE"/>
    <w:rsid w:val="00E24ACF"/>
    <w:rsid w:val="00E24B0C"/>
    <w:rsid w:val="00E425AD"/>
    <w:rsid w:val="00E447A4"/>
    <w:rsid w:val="00E44E94"/>
    <w:rsid w:val="00E47F32"/>
    <w:rsid w:val="00E52814"/>
    <w:rsid w:val="00E62713"/>
    <w:rsid w:val="00E65665"/>
    <w:rsid w:val="00E73BB0"/>
    <w:rsid w:val="00E73C45"/>
    <w:rsid w:val="00E751AC"/>
    <w:rsid w:val="00E768EB"/>
    <w:rsid w:val="00E81A6B"/>
    <w:rsid w:val="00E82089"/>
    <w:rsid w:val="00E82151"/>
    <w:rsid w:val="00E82385"/>
    <w:rsid w:val="00E83A12"/>
    <w:rsid w:val="00E8597F"/>
    <w:rsid w:val="00E85B5F"/>
    <w:rsid w:val="00E90334"/>
    <w:rsid w:val="00E90C4B"/>
    <w:rsid w:val="00E92C38"/>
    <w:rsid w:val="00E95035"/>
    <w:rsid w:val="00E95F4A"/>
    <w:rsid w:val="00E9620E"/>
    <w:rsid w:val="00E9648A"/>
    <w:rsid w:val="00EA1F7A"/>
    <w:rsid w:val="00EA565A"/>
    <w:rsid w:val="00EA5C20"/>
    <w:rsid w:val="00EA61A7"/>
    <w:rsid w:val="00EA6D6D"/>
    <w:rsid w:val="00EA76B7"/>
    <w:rsid w:val="00EA7E7E"/>
    <w:rsid w:val="00EC6002"/>
    <w:rsid w:val="00EC69B4"/>
    <w:rsid w:val="00EC6E94"/>
    <w:rsid w:val="00ED09FD"/>
    <w:rsid w:val="00ED71E1"/>
    <w:rsid w:val="00EE0938"/>
    <w:rsid w:val="00EE3940"/>
    <w:rsid w:val="00EF458B"/>
    <w:rsid w:val="00EF6E51"/>
    <w:rsid w:val="00F01EE8"/>
    <w:rsid w:val="00F0474D"/>
    <w:rsid w:val="00F0491B"/>
    <w:rsid w:val="00F077EF"/>
    <w:rsid w:val="00F124AC"/>
    <w:rsid w:val="00F12E34"/>
    <w:rsid w:val="00F21150"/>
    <w:rsid w:val="00F22A4E"/>
    <w:rsid w:val="00F255C9"/>
    <w:rsid w:val="00F27AC3"/>
    <w:rsid w:val="00F34D6C"/>
    <w:rsid w:val="00F351C0"/>
    <w:rsid w:val="00F400C1"/>
    <w:rsid w:val="00F44EDD"/>
    <w:rsid w:val="00F504A1"/>
    <w:rsid w:val="00F52990"/>
    <w:rsid w:val="00F63BAF"/>
    <w:rsid w:val="00F65646"/>
    <w:rsid w:val="00F66AE1"/>
    <w:rsid w:val="00F7346E"/>
    <w:rsid w:val="00F77220"/>
    <w:rsid w:val="00F87188"/>
    <w:rsid w:val="00F87A5A"/>
    <w:rsid w:val="00F87B3B"/>
    <w:rsid w:val="00F925FE"/>
    <w:rsid w:val="00F92BDE"/>
    <w:rsid w:val="00F9310B"/>
    <w:rsid w:val="00F96EDF"/>
    <w:rsid w:val="00FA2519"/>
    <w:rsid w:val="00FA5944"/>
    <w:rsid w:val="00FA7A86"/>
    <w:rsid w:val="00FB1A7E"/>
    <w:rsid w:val="00FB34F7"/>
    <w:rsid w:val="00FB468E"/>
    <w:rsid w:val="00FB4A89"/>
    <w:rsid w:val="00FB4A9F"/>
    <w:rsid w:val="00FB7F70"/>
    <w:rsid w:val="00FC1886"/>
    <w:rsid w:val="00FC25E0"/>
    <w:rsid w:val="00FC3E36"/>
    <w:rsid w:val="00FC3FC8"/>
    <w:rsid w:val="00FD055F"/>
    <w:rsid w:val="00FD30A2"/>
    <w:rsid w:val="00FE01D7"/>
    <w:rsid w:val="00FE23B2"/>
    <w:rsid w:val="00FE2CF6"/>
    <w:rsid w:val="00FE5330"/>
    <w:rsid w:val="00FE5C94"/>
    <w:rsid w:val="00FE70D1"/>
    <w:rsid w:val="00FF2BD6"/>
    <w:rsid w:val="00FF65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9DA7ED"/>
  <w15:chartTrackingRefBased/>
  <w15:docId w15:val="{3283694A-15F6-4ADC-A0FF-A454910AD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65D3"/>
    <w:rPr>
      <w:lang w:val="es-CO"/>
    </w:rPr>
  </w:style>
  <w:style w:type="paragraph" w:styleId="Ttulo1">
    <w:name w:val="heading 1"/>
    <w:basedOn w:val="Normal"/>
    <w:next w:val="Normal"/>
    <w:link w:val="Ttulo1Car"/>
    <w:uiPriority w:val="9"/>
    <w:qFormat/>
    <w:rsid w:val="00E6566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B87A20"/>
    <w:pPr>
      <w:keepNext/>
      <w:spacing w:line="360" w:lineRule="auto"/>
      <w:jc w:val="center"/>
      <w:outlineLvl w:val="1"/>
    </w:pPr>
    <w:rPr>
      <w:rFonts w:ascii="Verdana" w:eastAsia="Times New Roman" w:hAnsi="Verdana" w:cs="Times New Roman"/>
      <w:b/>
      <w:sz w:val="36"/>
      <w:szCs w:val="20"/>
      <w:lang w:eastAsia="es-ES"/>
    </w:rPr>
  </w:style>
  <w:style w:type="paragraph" w:styleId="Ttulo3">
    <w:name w:val="heading 3"/>
    <w:basedOn w:val="Normal"/>
    <w:next w:val="Normal"/>
    <w:link w:val="Ttulo3Car"/>
    <w:uiPriority w:val="9"/>
    <w:semiHidden/>
    <w:unhideWhenUsed/>
    <w:qFormat/>
    <w:rsid w:val="005940D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7A20"/>
    <w:pPr>
      <w:tabs>
        <w:tab w:val="center" w:pos="4252"/>
        <w:tab w:val="right" w:pos="8504"/>
      </w:tabs>
    </w:pPr>
  </w:style>
  <w:style w:type="character" w:customStyle="1" w:styleId="EncabezadoCar">
    <w:name w:val="Encabezado Car"/>
    <w:basedOn w:val="Fuentedeprrafopredeter"/>
    <w:link w:val="Encabezado"/>
    <w:uiPriority w:val="99"/>
    <w:rsid w:val="00B87A20"/>
  </w:style>
  <w:style w:type="paragraph" w:styleId="Piedepgina">
    <w:name w:val="footer"/>
    <w:basedOn w:val="Normal"/>
    <w:link w:val="PiedepginaCar"/>
    <w:uiPriority w:val="99"/>
    <w:unhideWhenUsed/>
    <w:rsid w:val="00B87A20"/>
    <w:pPr>
      <w:tabs>
        <w:tab w:val="center" w:pos="4252"/>
        <w:tab w:val="right" w:pos="8504"/>
      </w:tabs>
    </w:pPr>
  </w:style>
  <w:style w:type="character" w:customStyle="1" w:styleId="PiedepginaCar">
    <w:name w:val="Pie de página Car"/>
    <w:basedOn w:val="Fuentedeprrafopredeter"/>
    <w:link w:val="Piedepgina"/>
    <w:uiPriority w:val="99"/>
    <w:rsid w:val="00B87A20"/>
  </w:style>
  <w:style w:type="character" w:customStyle="1" w:styleId="Ttulo2Car">
    <w:name w:val="Título 2 Car"/>
    <w:basedOn w:val="Fuentedeprrafopredeter"/>
    <w:link w:val="Ttulo2"/>
    <w:rsid w:val="00B87A20"/>
    <w:rPr>
      <w:rFonts w:ascii="Verdana" w:eastAsia="Times New Roman" w:hAnsi="Verdana" w:cs="Times New Roman"/>
      <w:b/>
      <w:sz w:val="36"/>
      <w:szCs w:val="20"/>
      <w:lang w:eastAsia="es-ES"/>
    </w:rPr>
  </w:style>
  <w:style w:type="paragraph" w:styleId="Prrafodelista">
    <w:name w:val="List Paragraph"/>
    <w:basedOn w:val="Normal"/>
    <w:uiPriority w:val="34"/>
    <w:qFormat/>
    <w:rsid w:val="00E23D8A"/>
    <w:pPr>
      <w:ind w:left="720"/>
      <w:contextualSpacing/>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A Fu Car Car"/>
    <w:basedOn w:val="Normal"/>
    <w:link w:val="TextonotapieCar"/>
    <w:uiPriority w:val="99"/>
    <w:unhideWhenUsed/>
    <w:qFormat/>
    <w:rsid w:val="00D156C6"/>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D156C6"/>
    <w:rPr>
      <w:sz w:val="20"/>
      <w:szCs w:val="20"/>
    </w:rPr>
  </w:style>
  <w:style w:type="character" w:styleId="Refdenotaalpie">
    <w:name w:val="footnote reference"/>
    <w:aliases w:val="Texto de nota al pie,referencia nota al pie,Appel note de bas de page,Footnotes refss,Ref. de nota al pie 2,Ref,de nota al pie,BVI fnr,Footnote symbol,Footnote,Ref. de nota al pie2,Nota de pie,Pie de pagina,Ref. ...,Ref1,FC,f,4_G,FZ"/>
    <w:qFormat/>
    <w:rsid w:val="00D156C6"/>
    <w:rPr>
      <w:vertAlign w:val="superscript"/>
    </w:rPr>
  </w:style>
  <w:style w:type="paragraph" w:styleId="Textodeglobo">
    <w:name w:val="Balloon Text"/>
    <w:basedOn w:val="Normal"/>
    <w:link w:val="TextodegloboCar"/>
    <w:uiPriority w:val="99"/>
    <w:semiHidden/>
    <w:unhideWhenUsed/>
    <w:rsid w:val="009E079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0797"/>
    <w:rPr>
      <w:rFonts w:ascii="Segoe UI" w:hAnsi="Segoe UI" w:cs="Segoe UI"/>
      <w:sz w:val="18"/>
      <w:szCs w:val="18"/>
      <w:lang w:val="es-CO"/>
    </w:rPr>
  </w:style>
  <w:style w:type="paragraph" w:customStyle="1" w:styleId="f000">
    <w:name w:val="f000"/>
    <w:basedOn w:val="Normal"/>
    <w:rsid w:val="0090690D"/>
    <w:rPr>
      <w:rFonts w:ascii="Arial" w:eastAsia="Times New Roman" w:hAnsi="Arial" w:cs="Arial"/>
      <w:sz w:val="24"/>
      <w:szCs w:val="24"/>
      <w:lang w:val="es-ES" w:eastAsia="es-ES"/>
    </w:rPr>
  </w:style>
  <w:style w:type="character" w:customStyle="1" w:styleId="f2101">
    <w:name w:val="f2101"/>
    <w:basedOn w:val="Fuentedeprrafopredeter"/>
    <w:rsid w:val="0090690D"/>
    <w:rPr>
      <w:rFonts w:ascii="Arial" w:hAnsi="Arial" w:cs="Arial" w:hint="default"/>
      <w:b w:val="0"/>
      <w:bCs w:val="0"/>
      <w:i/>
      <w:iCs/>
    </w:rPr>
  </w:style>
  <w:style w:type="character" w:customStyle="1" w:styleId="f0001">
    <w:name w:val="f0001"/>
    <w:basedOn w:val="Fuentedeprrafopredeter"/>
    <w:rsid w:val="0090690D"/>
    <w:rPr>
      <w:rFonts w:ascii="Arial" w:hAnsi="Arial" w:cs="Arial" w:hint="default"/>
      <w:b w:val="0"/>
      <w:bCs w:val="0"/>
      <w:i w:val="0"/>
      <w:iCs w:val="0"/>
    </w:rPr>
  </w:style>
  <w:style w:type="character" w:customStyle="1" w:styleId="f1001">
    <w:name w:val="f1001"/>
    <w:basedOn w:val="Fuentedeprrafopredeter"/>
    <w:rsid w:val="0090690D"/>
    <w:rPr>
      <w:rFonts w:ascii="Times New Roman" w:hAnsi="Times New Roman" w:cs="Times New Roman" w:hint="default"/>
      <w:b w:val="0"/>
      <w:bCs w:val="0"/>
      <w:i w:val="0"/>
      <w:iCs w:val="0"/>
    </w:rPr>
  </w:style>
  <w:style w:type="paragraph" w:customStyle="1" w:styleId="f210">
    <w:name w:val="f210"/>
    <w:basedOn w:val="Normal"/>
    <w:rsid w:val="0090690D"/>
    <w:rPr>
      <w:rFonts w:ascii="Arial" w:eastAsia="Times New Roman" w:hAnsi="Arial" w:cs="Arial"/>
      <w:i/>
      <w:iCs/>
      <w:sz w:val="24"/>
      <w:szCs w:val="24"/>
      <w:lang w:val="es-ES" w:eastAsia="es-ES"/>
    </w:rPr>
  </w:style>
  <w:style w:type="character" w:customStyle="1" w:styleId="f3101">
    <w:name w:val="f3101"/>
    <w:basedOn w:val="Fuentedeprrafopredeter"/>
    <w:rsid w:val="0090690D"/>
    <w:rPr>
      <w:rFonts w:ascii="Times New Roman" w:hAnsi="Times New Roman" w:cs="Times New Roman" w:hint="default"/>
      <w:b w:val="0"/>
      <w:bCs w:val="0"/>
      <w:i/>
      <w:iCs/>
    </w:rPr>
  </w:style>
  <w:style w:type="paragraph" w:customStyle="1" w:styleId="f110">
    <w:name w:val="f110"/>
    <w:basedOn w:val="Normal"/>
    <w:rsid w:val="00EA565A"/>
    <w:rPr>
      <w:rFonts w:ascii="Arial" w:eastAsia="Times New Roman" w:hAnsi="Arial" w:cs="Arial"/>
      <w:i/>
      <w:iCs/>
      <w:sz w:val="24"/>
      <w:szCs w:val="24"/>
      <w:lang w:val="es-ES" w:eastAsia="es-ES"/>
    </w:rPr>
  </w:style>
  <w:style w:type="character" w:customStyle="1" w:styleId="f1101">
    <w:name w:val="f1101"/>
    <w:basedOn w:val="Fuentedeprrafopredeter"/>
    <w:rsid w:val="00EA565A"/>
    <w:rPr>
      <w:rFonts w:ascii="Arial" w:hAnsi="Arial" w:cs="Arial" w:hint="default"/>
      <w:b w:val="0"/>
      <w:bCs w:val="0"/>
      <w:i/>
      <w:iCs/>
    </w:rPr>
  </w:style>
  <w:style w:type="character" w:customStyle="1" w:styleId="f2001">
    <w:name w:val="f2001"/>
    <w:basedOn w:val="Fuentedeprrafopredeter"/>
    <w:rsid w:val="00EA565A"/>
    <w:rPr>
      <w:rFonts w:ascii="Times New Roman" w:hAnsi="Times New Roman" w:cs="Times New Roman" w:hint="default"/>
      <w:b w:val="0"/>
      <w:bCs w:val="0"/>
      <w:i w:val="0"/>
      <w:iCs w:val="0"/>
    </w:rPr>
  </w:style>
  <w:style w:type="character" w:customStyle="1" w:styleId="Ttulo1Car">
    <w:name w:val="Título 1 Car"/>
    <w:basedOn w:val="Fuentedeprrafopredeter"/>
    <w:link w:val="Ttulo1"/>
    <w:uiPriority w:val="9"/>
    <w:rsid w:val="00E65665"/>
    <w:rPr>
      <w:rFonts w:asciiTheme="majorHAnsi" w:eastAsiaTheme="majorEastAsia" w:hAnsiTheme="majorHAnsi" w:cstheme="majorBidi"/>
      <w:color w:val="2E74B5" w:themeColor="accent1" w:themeShade="BF"/>
      <w:sz w:val="32"/>
      <w:szCs w:val="32"/>
      <w:lang w:val="es-CO"/>
    </w:rPr>
  </w:style>
  <w:style w:type="paragraph" w:styleId="Textoindependiente2">
    <w:name w:val="Body Text 2"/>
    <w:basedOn w:val="Normal"/>
    <w:link w:val="Textoindependiente2Car"/>
    <w:uiPriority w:val="99"/>
    <w:rsid w:val="00BE5B45"/>
    <w:pPr>
      <w:spacing w:after="120" w:line="480" w:lineRule="auto"/>
    </w:pPr>
    <w:rPr>
      <w:rFonts w:ascii="Arial" w:eastAsia="Times New Roman" w:hAnsi="Arial" w:cs="Tahoma"/>
      <w:sz w:val="32"/>
      <w:szCs w:val="24"/>
      <w:lang w:eastAsia="es-ES"/>
    </w:rPr>
  </w:style>
  <w:style w:type="character" w:customStyle="1" w:styleId="Textoindependiente2Car">
    <w:name w:val="Texto independiente 2 Car"/>
    <w:basedOn w:val="Fuentedeprrafopredeter"/>
    <w:link w:val="Textoindependiente2"/>
    <w:uiPriority w:val="99"/>
    <w:rsid w:val="00BE5B45"/>
    <w:rPr>
      <w:rFonts w:ascii="Arial" w:eastAsia="Times New Roman" w:hAnsi="Arial" w:cs="Tahoma"/>
      <w:sz w:val="32"/>
      <w:szCs w:val="24"/>
      <w:lang w:val="es-CO" w:eastAsia="es-ES"/>
    </w:rPr>
  </w:style>
  <w:style w:type="paragraph" w:styleId="Sangradetextonormal">
    <w:name w:val="Body Text Indent"/>
    <w:basedOn w:val="Normal"/>
    <w:link w:val="SangradetextonormalCar"/>
    <w:uiPriority w:val="99"/>
    <w:semiHidden/>
    <w:unhideWhenUsed/>
    <w:rsid w:val="00804B00"/>
    <w:pPr>
      <w:spacing w:after="120"/>
      <w:ind w:left="283"/>
    </w:pPr>
  </w:style>
  <w:style w:type="character" w:customStyle="1" w:styleId="SangradetextonormalCar">
    <w:name w:val="Sangría de texto normal Car"/>
    <w:basedOn w:val="Fuentedeprrafopredeter"/>
    <w:link w:val="Sangradetextonormal"/>
    <w:uiPriority w:val="99"/>
    <w:semiHidden/>
    <w:rsid w:val="00804B00"/>
    <w:rPr>
      <w:lang w:val="es-CO"/>
    </w:rPr>
  </w:style>
  <w:style w:type="character" w:customStyle="1" w:styleId="Ttulo3Car">
    <w:name w:val="Título 3 Car"/>
    <w:basedOn w:val="Fuentedeprrafopredeter"/>
    <w:link w:val="Ttulo3"/>
    <w:uiPriority w:val="9"/>
    <w:semiHidden/>
    <w:rsid w:val="005940D5"/>
    <w:rPr>
      <w:rFonts w:asciiTheme="majorHAnsi" w:eastAsiaTheme="majorEastAsia" w:hAnsiTheme="majorHAnsi" w:cstheme="majorBidi"/>
      <w:color w:val="1F4D78" w:themeColor="accent1" w:themeShade="7F"/>
      <w:sz w:val="24"/>
      <w:szCs w:val="24"/>
      <w:lang w:val="es-CO"/>
    </w:rPr>
  </w:style>
  <w:style w:type="paragraph" w:customStyle="1" w:styleId="Style5">
    <w:name w:val="Style5"/>
    <w:basedOn w:val="Normal"/>
    <w:uiPriority w:val="99"/>
    <w:rsid w:val="00D40F0D"/>
    <w:pPr>
      <w:widowControl w:val="0"/>
      <w:autoSpaceDE w:val="0"/>
      <w:autoSpaceDN w:val="0"/>
      <w:adjustRightInd w:val="0"/>
      <w:spacing w:line="482" w:lineRule="exact"/>
      <w:ind w:firstLine="2294"/>
      <w:jc w:val="both"/>
    </w:pPr>
    <w:rPr>
      <w:rFonts w:ascii="Arial" w:eastAsiaTheme="minorEastAsia" w:hAnsi="Arial" w:cs="Arial"/>
      <w:sz w:val="24"/>
      <w:szCs w:val="24"/>
      <w:lang w:val="es-ES" w:eastAsia="es-ES"/>
    </w:rPr>
  </w:style>
  <w:style w:type="paragraph" w:customStyle="1" w:styleId="Style6">
    <w:name w:val="Style6"/>
    <w:basedOn w:val="Normal"/>
    <w:uiPriority w:val="99"/>
    <w:rsid w:val="00D40F0D"/>
    <w:pPr>
      <w:widowControl w:val="0"/>
      <w:autoSpaceDE w:val="0"/>
      <w:autoSpaceDN w:val="0"/>
      <w:adjustRightInd w:val="0"/>
      <w:spacing w:line="485" w:lineRule="exact"/>
      <w:ind w:firstLine="1757"/>
    </w:pPr>
    <w:rPr>
      <w:rFonts w:ascii="Arial" w:eastAsiaTheme="minorEastAsia" w:hAnsi="Arial" w:cs="Arial"/>
      <w:sz w:val="24"/>
      <w:szCs w:val="24"/>
      <w:lang w:val="es-ES" w:eastAsia="es-ES"/>
    </w:rPr>
  </w:style>
  <w:style w:type="character" w:customStyle="1" w:styleId="FontStyle14">
    <w:name w:val="Font Style14"/>
    <w:basedOn w:val="Fuentedeprrafopredeter"/>
    <w:uiPriority w:val="99"/>
    <w:rsid w:val="00D40F0D"/>
    <w:rPr>
      <w:rFonts w:ascii="Arial" w:hAnsi="Arial" w:cs="Arial"/>
      <w:sz w:val="24"/>
      <w:szCs w:val="24"/>
    </w:rPr>
  </w:style>
  <w:style w:type="character" w:customStyle="1" w:styleId="FontStyle18">
    <w:name w:val="Font Style18"/>
    <w:basedOn w:val="Fuentedeprrafopredeter"/>
    <w:uiPriority w:val="99"/>
    <w:rsid w:val="00D40F0D"/>
    <w:rPr>
      <w:rFonts w:ascii="Arial" w:hAnsi="Arial" w:cs="Arial"/>
      <w:smallCaps/>
      <w:sz w:val="28"/>
      <w:szCs w:val="28"/>
    </w:rPr>
  </w:style>
  <w:style w:type="paragraph" w:customStyle="1" w:styleId="Style60">
    <w:name w:val="Style 6"/>
    <w:basedOn w:val="Normal"/>
    <w:uiPriority w:val="99"/>
    <w:rsid w:val="007939C1"/>
    <w:pPr>
      <w:widowControl w:val="0"/>
      <w:autoSpaceDE w:val="0"/>
      <w:autoSpaceDN w:val="0"/>
      <w:spacing w:before="648" w:line="360" w:lineRule="auto"/>
      <w:ind w:right="72" w:firstLine="792"/>
      <w:jc w:val="both"/>
    </w:pPr>
    <w:rPr>
      <w:rFonts w:ascii="Bookman Old Style" w:eastAsiaTheme="minorEastAsia" w:hAnsi="Bookman Old Style" w:cs="Bookman Old Style"/>
      <w:sz w:val="27"/>
      <w:szCs w:val="27"/>
      <w:lang w:val="en-US" w:eastAsia="es-ES"/>
    </w:rPr>
  </w:style>
  <w:style w:type="character" w:customStyle="1" w:styleId="CharacterStyle1">
    <w:name w:val="Character Style 1"/>
    <w:uiPriority w:val="99"/>
    <w:rsid w:val="007939C1"/>
    <w:rPr>
      <w:rFonts w:ascii="Bookman Old Style" w:hAnsi="Bookman Old Style" w:cs="Bookman Old Style"/>
      <w:sz w:val="27"/>
      <w:szCs w:val="27"/>
    </w:rPr>
  </w:style>
  <w:style w:type="character" w:customStyle="1" w:styleId="TtuloCar">
    <w:name w:val="Título Car"/>
    <w:aliases w:val="Título FCH Nivel 1 Car"/>
    <w:basedOn w:val="Fuentedeprrafopredeter"/>
    <w:link w:val="Ttulo"/>
    <w:locked/>
    <w:rsid w:val="00D2504D"/>
    <w:rPr>
      <w:rFonts w:ascii="Arial" w:eastAsia="Times New Roman" w:hAnsi="Arial" w:cs="Arial"/>
      <w:b/>
      <w:bCs/>
      <w:kern w:val="28"/>
      <w:sz w:val="32"/>
      <w:szCs w:val="32"/>
      <w:lang w:val="es-CO" w:eastAsia="es-ES"/>
    </w:rPr>
  </w:style>
  <w:style w:type="paragraph" w:styleId="Ttulo">
    <w:name w:val="Title"/>
    <w:aliases w:val="Título FCH Nivel 1"/>
    <w:basedOn w:val="Normal"/>
    <w:link w:val="TtuloCar"/>
    <w:qFormat/>
    <w:rsid w:val="00D2504D"/>
    <w:pPr>
      <w:overflowPunct w:val="0"/>
      <w:autoSpaceDE w:val="0"/>
      <w:autoSpaceDN w:val="0"/>
      <w:adjustRightInd w:val="0"/>
      <w:spacing w:before="240" w:after="60"/>
      <w:jc w:val="center"/>
      <w:outlineLvl w:val="0"/>
    </w:pPr>
    <w:rPr>
      <w:rFonts w:ascii="Arial" w:eastAsia="Times New Roman" w:hAnsi="Arial" w:cs="Arial"/>
      <w:b/>
      <w:bCs/>
      <w:kern w:val="28"/>
      <w:sz w:val="32"/>
      <w:szCs w:val="32"/>
      <w:lang w:eastAsia="es-ES"/>
    </w:rPr>
  </w:style>
  <w:style w:type="character" w:customStyle="1" w:styleId="PuestoCar1">
    <w:name w:val="Puesto Car1"/>
    <w:basedOn w:val="Fuentedeprrafopredeter"/>
    <w:uiPriority w:val="10"/>
    <w:rsid w:val="00D2504D"/>
    <w:rPr>
      <w:rFonts w:asciiTheme="majorHAnsi" w:eastAsiaTheme="majorEastAsia" w:hAnsiTheme="majorHAnsi" w:cstheme="majorBidi"/>
      <w:spacing w:val="-10"/>
      <w:kern w:val="28"/>
      <w:sz w:val="56"/>
      <w:szCs w:val="56"/>
      <w:lang w:val="es-CO"/>
    </w:rPr>
  </w:style>
  <w:style w:type="paragraph" w:styleId="Sinespaciado">
    <w:name w:val="No Spacing"/>
    <w:qFormat/>
    <w:rsid w:val="00AB3DB2"/>
    <w:rPr>
      <w:rFonts w:ascii="Times New Roman" w:eastAsia="Times New Roman" w:hAnsi="Times New Roman" w:cs="Times New Roman"/>
      <w:sz w:val="24"/>
      <w:szCs w:val="24"/>
      <w:lang w:eastAsia="es-ES"/>
    </w:rPr>
  </w:style>
  <w:style w:type="character" w:customStyle="1" w:styleId="FontStyle13">
    <w:name w:val="Font Style13"/>
    <w:basedOn w:val="Fuentedeprrafopredeter"/>
    <w:uiPriority w:val="99"/>
    <w:rsid w:val="00267EF5"/>
    <w:rPr>
      <w:rFonts w:ascii="Tahoma" w:hAnsi="Tahoma" w:cs="Tahoma" w:hint="default"/>
      <w:sz w:val="22"/>
      <w:szCs w:val="22"/>
    </w:rPr>
  </w:style>
  <w:style w:type="character" w:styleId="Refdecomentario">
    <w:name w:val="annotation reference"/>
    <w:basedOn w:val="Fuentedeprrafopredeter"/>
    <w:uiPriority w:val="99"/>
    <w:semiHidden/>
    <w:unhideWhenUsed/>
    <w:rsid w:val="00DB765D"/>
    <w:rPr>
      <w:sz w:val="16"/>
      <w:szCs w:val="16"/>
    </w:rPr>
  </w:style>
  <w:style w:type="paragraph" w:styleId="Textocomentario">
    <w:name w:val="annotation text"/>
    <w:basedOn w:val="Normal"/>
    <w:link w:val="TextocomentarioCar"/>
    <w:uiPriority w:val="99"/>
    <w:semiHidden/>
    <w:unhideWhenUsed/>
    <w:rsid w:val="00DB765D"/>
    <w:rPr>
      <w:sz w:val="20"/>
      <w:szCs w:val="20"/>
    </w:rPr>
  </w:style>
  <w:style w:type="character" w:customStyle="1" w:styleId="TextocomentarioCar">
    <w:name w:val="Texto comentario Car"/>
    <w:basedOn w:val="Fuentedeprrafopredeter"/>
    <w:link w:val="Textocomentario"/>
    <w:uiPriority w:val="99"/>
    <w:semiHidden/>
    <w:rsid w:val="00DB765D"/>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DB765D"/>
    <w:rPr>
      <w:b/>
      <w:bCs/>
    </w:rPr>
  </w:style>
  <w:style w:type="character" w:customStyle="1" w:styleId="AsuntodelcomentarioCar">
    <w:name w:val="Asunto del comentario Car"/>
    <w:basedOn w:val="TextocomentarioCar"/>
    <w:link w:val="Asuntodelcomentario"/>
    <w:uiPriority w:val="99"/>
    <w:semiHidden/>
    <w:rsid w:val="00DB765D"/>
    <w:rPr>
      <w:b/>
      <w:bCs/>
      <w:sz w:val="20"/>
      <w:szCs w:val="20"/>
      <w:lang w:val="es-CO"/>
    </w:rPr>
  </w:style>
  <w:style w:type="paragraph" w:styleId="Lista3">
    <w:name w:val="List 3"/>
    <w:basedOn w:val="Normal"/>
    <w:uiPriority w:val="99"/>
    <w:semiHidden/>
    <w:unhideWhenUsed/>
    <w:rsid w:val="00DD5B77"/>
    <w:pPr>
      <w:spacing w:after="200" w:line="276" w:lineRule="auto"/>
      <w:ind w:left="849" w:hanging="283"/>
      <w:contextualSpacing/>
    </w:pPr>
    <w:rPr>
      <w:rFonts w:ascii="Calibri" w:eastAsia="Calibri" w:hAnsi="Calibri" w:cs="Times New Roman"/>
      <w:lang w:val="es-ES"/>
    </w:rPr>
  </w:style>
  <w:style w:type="paragraph" w:customStyle="1" w:styleId="BodyText21">
    <w:name w:val="Body Text 21"/>
    <w:basedOn w:val="Normal"/>
    <w:rsid w:val="00DD5B77"/>
    <w:pPr>
      <w:ind w:right="51"/>
      <w:jc w:val="both"/>
    </w:pPr>
    <w:rPr>
      <w:rFonts w:ascii="Times New Roman" w:eastAsia="Times New Roman" w:hAnsi="Times New Roman" w:cs="Times New Roman"/>
      <w:sz w:val="28"/>
      <w:szCs w:val="2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7554">
      <w:bodyDiv w:val="1"/>
      <w:marLeft w:val="0"/>
      <w:marRight w:val="0"/>
      <w:marTop w:val="0"/>
      <w:marBottom w:val="0"/>
      <w:divBdr>
        <w:top w:val="none" w:sz="0" w:space="0" w:color="auto"/>
        <w:left w:val="none" w:sz="0" w:space="0" w:color="auto"/>
        <w:bottom w:val="none" w:sz="0" w:space="0" w:color="auto"/>
        <w:right w:val="none" w:sz="0" w:space="0" w:color="auto"/>
      </w:divBdr>
    </w:div>
    <w:div w:id="67382213">
      <w:bodyDiv w:val="1"/>
      <w:marLeft w:val="0"/>
      <w:marRight w:val="0"/>
      <w:marTop w:val="0"/>
      <w:marBottom w:val="0"/>
      <w:divBdr>
        <w:top w:val="none" w:sz="0" w:space="0" w:color="auto"/>
        <w:left w:val="none" w:sz="0" w:space="0" w:color="auto"/>
        <w:bottom w:val="none" w:sz="0" w:space="0" w:color="auto"/>
        <w:right w:val="none" w:sz="0" w:space="0" w:color="auto"/>
      </w:divBdr>
    </w:div>
    <w:div w:id="93868923">
      <w:bodyDiv w:val="1"/>
      <w:marLeft w:val="0"/>
      <w:marRight w:val="0"/>
      <w:marTop w:val="0"/>
      <w:marBottom w:val="0"/>
      <w:divBdr>
        <w:top w:val="none" w:sz="0" w:space="0" w:color="auto"/>
        <w:left w:val="none" w:sz="0" w:space="0" w:color="auto"/>
        <w:bottom w:val="none" w:sz="0" w:space="0" w:color="auto"/>
        <w:right w:val="none" w:sz="0" w:space="0" w:color="auto"/>
      </w:divBdr>
    </w:div>
    <w:div w:id="135807012">
      <w:bodyDiv w:val="1"/>
      <w:marLeft w:val="0"/>
      <w:marRight w:val="0"/>
      <w:marTop w:val="0"/>
      <w:marBottom w:val="0"/>
      <w:divBdr>
        <w:top w:val="none" w:sz="0" w:space="0" w:color="auto"/>
        <w:left w:val="none" w:sz="0" w:space="0" w:color="auto"/>
        <w:bottom w:val="none" w:sz="0" w:space="0" w:color="auto"/>
        <w:right w:val="none" w:sz="0" w:space="0" w:color="auto"/>
      </w:divBdr>
    </w:div>
    <w:div w:id="250311903">
      <w:bodyDiv w:val="1"/>
      <w:marLeft w:val="0"/>
      <w:marRight w:val="0"/>
      <w:marTop w:val="0"/>
      <w:marBottom w:val="0"/>
      <w:divBdr>
        <w:top w:val="none" w:sz="0" w:space="0" w:color="auto"/>
        <w:left w:val="none" w:sz="0" w:space="0" w:color="auto"/>
        <w:bottom w:val="none" w:sz="0" w:space="0" w:color="auto"/>
        <w:right w:val="none" w:sz="0" w:space="0" w:color="auto"/>
      </w:divBdr>
    </w:div>
    <w:div w:id="267740078">
      <w:bodyDiv w:val="1"/>
      <w:marLeft w:val="0"/>
      <w:marRight w:val="0"/>
      <w:marTop w:val="0"/>
      <w:marBottom w:val="0"/>
      <w:divBdr>
        <w:top w:val="none" w:sz="0" w:space="0" w:color="auto"/>
        <w:left w:val="none" w:sz="0" w:space="0" w:color="auto"/>
        <w:bottom w:val="none" w:sz="0" w:space="0" w:color="auto"/>
        <w:right w:val="none" w:sz="0" w:space="0" w:color="auto"/>
      </w:divBdr>
    </w:div>
    <w:div w:id="284577678">
      <w:bodyDiv w:val="1"/>
      <w:marLeft w:val="0"/>
      <w:marRight w:val="0"/>
      <w:marTop w:val="0"/>
      <w:marBottom w:val="0"/>
      <w:divBdr>
        <w:top w:val="none" w:sz="0" w:space="0" w:color="auto"/>
        <w:left w:val="none" w:sz="0" w:space="0" w:color="auto"/>
        <w:bottom w:val="none" w:sz="0" w:space="0" w:color="auto"/>
        <w:right w:val="none" w:sz="0" w:space="0" w:color="auto"/>
      </w:divBdr>
    </w:div>
    <w:div w:id="289172851">
      <w:bodyDiv w:val="1"/>
      <w:marLeft w:val="0"/>
      <w:marRight w:val="0"/>
      <w:marTop w:val="0"/>
      <w:marBottom w:val="0"/>
      <w:divBdr>
        <w:top w:val="none" w:sz="0" w:space="0" w:color="auto"/>
        <w:left w:val="none" w:sz="0" w:space="0" w:color="auto"/>
        <w:bottom w:val="none" w:sz="0" w:space="0" w:color="auto"/>
        <w:right w:val="none" w:sz="0" w:space="0" w:color="auto"/>
      </w:divBdr>
    </w:div>
    <w:div w:id="389620304">
      <w:bodyDiv w:val="1"/>
      <w:marLeft w:val="0"/>
      <w:marRight w:val="0"/>
      <w:marTop w:val="0"/>
      <w:marBottom w:val="0"/>
      <w:divBdr>
        <w:top w:val="none" w:sz="0" w:space="0" w:color="auto"/>
        <w:left w:val="none" w:sz="0" w:space="0" w:color="auto"/>
        <w:bottom w:val="none" w:sz="0" w:space="0" w:color="auto"/>
        <w:right w:val="none" w:sz="0" w:space="0" w:color="auto"/>
      </w:divBdr>
    </w:div>
    <w:div w:id="462037490">
      <w:bodyDiv w:val="1"/>
      <w:marLeft w:val="0"/>
      <w:marRight w:val="0"/>
      <w:marTop w:val="0"/>
      <w:marBottom w:val="0"/>
      <w:divBdr>
        <w:top w:val="none" w:sz="0" w:space="0" w:color="auto"/>
        <w:left w:val="none" w:sz="0" w:space="0" w:color="auto"/>
        <w:bottom w:val="none" w:sz="0" w:space="0" w:color="auto"/>
        <w:right w:val="none" w:sz="0" w:space="0" w:color="auto"/>
      </w:divBdr>
    </w:div>
    <w:div w:id="507134667">
      <w:bodyDiv w:val="1"/>
      <w:marLeft w:val="0"/>
      <w:marRight w:val="0"/>
      <w:marTop w:val="0"/>
      <w:marBottom w:val="0"/>
      <w:divBdr>
        <w:top w:val="none" w:sz="0" w:space="0" w:color="auto"/>
        <w:left w:val="none" w:sz="0" w:space="0" w:color="auto"/>
        <w:bottom w:val="none" w:sz="0" w:space="0" w:color="auto"/>
        <w:right w:val="none" w:sz="0" w:space="0" w:color="auto"/>
      </w:divBdr>
    </w:div>
    <w:div w:id="534465612">
      <w:bodyDiv w:val="1"/>
      <w:marLeft w:val="0"/>
      <w:marRight w:val="0"/>
      <w:marTop w:val="0"/>
      <w:marBottom w:val="0"/>
      <w:divBdr>
        <w:top w:val="none" w:sz="0" w:space="0" w:color="auto"/>
        <w:left w:val="none" w:sz="0" w:space="0" w:color="auto"/>
        <w:bottom w:val="none" w:sz="0" w:space="0" w:color="auto"/>
        <w:right w:val="none" w:sz="0" w:space="0" w:color="auto"/>
      </w:divBdr>
    </w:div>
    <w:div w:id="547766460">
      <w:bodyDiv w:val="1"/>
      <w:marLeft w:val="0"/>
      <w:marRight w:val="0"/>
      <w:marTop w:val="0"/>
      <w:marBottom w:val="0"/>
      <w:divBdr>
        <w:top w:val="none" w:sz="0" w:space="0" w:color="auto"/>
        <w:left w:val="none" w:sz="0" w:space="0" w:color="auto"/>
        <w:bottom w:val="none" w:sz="0" w:space="0" w:color="auto"/>
        <w:right w:val="none" w:sz="0" w:space="0" w:color="auto"/>
      </w:divBdr>
    </w:div>
    <w:div w:id="601108001">
      <w:bodyDiv w:val="1"/>
      <w:marLeft w:val="0"/>
      <w:marRight w:val="0"/>
      <w:marTop w:val="0"/>
      <w:marBottom w:val="0"/>
      <w:divBdr>
        <w:top w:val="none" w:sz="0" w:space="0" w:color="auto"/>
        <w:left w:val="none" w:sz="0" w:space="0" w:color="auto"/>
        <w:bottom w:val="none" w:sz="0" w:space="0" w:color="auto"/>
        <w:right w:val="none" w:sz="0" w:space="0" w:color="auto"/>
      </w:divBdr>
      <w:divsChild>
        <w:div w:id="1968270825">
          <w:marLeft w:val="0"/>
          <w:marRight w:val="0"/>
          <w:marTop w:val="0"/>
          <w:marBottom w:val="0"/>
          <w:divBdr>
            <w:top w:val="none" w:sz="0" w:space="0" w:color="auto"/>
            <w:left w:val="none" w:sz="0" w:space="0" w:color="auto"/>
            <w:bottom w:val="none" w:sz="0" w:space="0" w:color="auto"/>
            <w:right w:val="none" w:sz="0" w:space="0" w:color="auto"/>
          </w:divBdr>
          <w:divsChild>
            <w:div w:id="114990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219916">
      <w:bodyDiv w:val="1"/>
      <w:marLeft w:val="0"/>
      <w:marRight w:val="0"/>
      <w:marTop w:val="0"/>
      <w:marBottom w:val="0"/>
      <w:divBdr>
        <w:top w:val="none" w:sz="0" w:space="0" w:color="auto"/>
        <w:left w:val="none" w:sz="0" w:space="0" w:color="auto"/>
        <w:bottom w:val="none" w:sz="0" w:space="0" w:color="auto"/>
        <w:right w:val="none" w:sz="0" w:space="0" w:color="auto"/>
      </w:divBdr>
    </w:div>
    <w:div w:id="699012524">
      <w:bodyDiv w:val="1"/>
      <w:marLeft w:val="0"/>
      <w:marRight w:val="0"/>
      <w:marTop w:val="0"/>
      <w:marBottom w:val="0"/>
      <w:divBdr>
        <w:top w:val="none" w:sz="0" w:space="0" w:color="auto"/>
        <w:left w:val="none" w:sz="0" w:space="0" w:color="auto"/>
        <w:bottom w:val="none" w:sz="0" w:space="0" w:color="auto"/>
        <w:right w:val="none" w:sz="0" w:space="0" w:color="auto"/>
      </w:divBdr>
    </w:div>
    <w:div w:id="799497292">
      <w:bodyDiv w:val="1"/>
      <w:marLeft w:val="0"/>
      <w:marRight w:val="0"/>
      <w:marTop w:val="0"/>
      <w:marBottom w:val="0"/>
      <w:divBdr>
        <w:top w:val="none" w:sz="0" w:space="0" w:color="auto"/>
        <w:left w:val="none" w:sz="0" w:space="0" w:color="auto"/>
        <w:bottom w:val="none" w:sz="0" w:space="0" w:color="auto"/>
        <w:right w:val="none" w:sz="0" w:space="0" w:color="auto"/>
      </w:divBdr>
      <w:divsChild>
        <w:div w:id="1450052260">
          <w:marLeft w:val="0"/>
          <w:marRight w:val="0"/>
          <w:marTop w:val="0"/>
          <w:marBottom w:val="0"/>
          <w:divBdr>
            <w:top w:val="none" w:sz="0" w:space="0" w:color="auto"/>
            <w:left w:val="none" w:sz="0" w:space="0" w:color="auto"/>
            <w:bottom w:val="none" w:sz="0" w:space="0" w:color="auto"/>
            <w:right w:val="none" w:sz="0" w:space="0" w:color="auto"/>
          </w:divBdr>
          <w:divsChild>
            <w:div w:id="401877435">
              <w:marLeft w:val="0"/>
              <w:marRight w:val="0"/>
              <w:marTop w:val="0"/>
              <w:marBottom w:val="0"/>
              <w:divBdr>
                <w:top w:val="none" w:sz="0" w:space="0" w:color="auto"/>
                <w:left w:val="none" w:sz="0" w:space="0" w:color="auto"/>
                <w:bottom w:val="none" w:sz="0" w:space="0" w:color="auto"/>
                <w:right w:val="none" w:sz="0" w:space="0" w:color="auto"/>
              </w:divBdr>
            </w:div>
            <w:div w:id="78447936">
              <w:marLeft w:val="0"/>
              <w:marRight w:val="0"/>
              <w:marTop w:val="0"/>
              <w:marBottom w:val="0"/>
              <w:divBdr>
                <w:top w:val="none" w:sz="0" w:space="0" w:color="auto"/>
                <w:left w:val="none" w:sz="0" w:space="0" w:color="auto"/>
                <w:bottom w:val="none" w:sz="0" w:space="0" w:color="auto"/>
                <w:right w:val="none" w:sz="0" w:space="0" w:color="auto"/>
              </w:divBdr>
            </w:div>
            <w:div w:id="2058356040">
              <w:marLeft w:val="0"/>
              <w:marRight w:val="0"/>
              <w:marTop w:val="0"/>
              <w:marBottom w:val="0"/>
              <w:divBdr>
                <w:top w:val="none" w:sz="0" w:space="0" w:color="auto"/>
                <w:left w:val="none" w:sz="0" w:space="0" w:color="auto"/>
                <w:bottom w:val="none" w:sz="0" w:space="0" w:color="auto"/>
                <w:right w:val="none" w:sz="0" w:space="0" w:color="auto"/>
              </w:divBdr>
            </w:div>
            <w:div w:id="92545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170534">
      <w:bodyDiv w:val="1"/>
      <w:marLeft w:val="0"/>
      <w:marRight w:val="0"/>
      <w:marTop w:val="0"/>
      <w:marBottom w:val="0"/>
      <w:divBdr>
        <w:top w:val="none" w:sz="0" w:space="0" w:color="auto"/>
        <w:left w:val="none" w:sz="0" w:space="0" w:color="auto"/>
        <w:bottom w:val="none" w:sz="0" w:space="0" w:color="auto"/>
        <w:right w:val="none" w:sz="0" w:space="0" w:color="auto"/>
      </w:divBdr>
    </w:div>
    <w:div w:id="979306339">
      <w:bodyDiv w:val="1"/>
      <w:marLeft w:val="0"/>
      <w:marRight w:val="0"/>
      <w:marTop w:val="0"/>
      <w:marBottom w:val="0"/>
      <w:divBdr>
        <w:top w:val="none" w:sz="0" w:space="0" w:color="auto"/>
        <w:left w:val="none" w:sz="0" w:space="0" w:color="auto"/>
        <w:bottom w:val="none" w:sz="0" w:space="0" w:color="auto"/>
        <w:right w:val="none" w:sz="0" w:space="0" w:color="auto"/>
      </w:divBdr>
    </w:div>
    <w:div w:id="1000473149">
      <w:bodyDiv w:val="1"/>
      <w:marLeft w:val="0"/>
      <w:marRight w:val="0"/>
      <w:marTop w:val="0"/>
      <w:marBottom w:val="0"/>
      <w:divBdr>
        <w:top w:val="none" w:sz="0" w:space="0" w:color="auto"/>
        <w:left w:val="none" w:sz="0" w:space="0" w:color="auto"/>
        <w:bottom w:val="none" w:sz="0" w:space="0" w:color="auto"/>
        <w:right w:val="none" w:sz="0" w:space="0" w:color="auto"/>
      </w:divBdr>
    </w:div>
    <w:div w:id="1141003188">
      <w:bodyDiv w:val="1"/>
      <w:marLeft w:val="0"/>
      <w:marRight w:val="0"/>
      <w:marTop w:val="0"/>
      <w:marBottom w:val="0"/>
      <w:divBdr>
        <w:top w:val="none" w:sz="0" w:space="0" w:color="auto"/>
        <w:left w:val="none" w:sz="0" w:space="0" w:color="auto"/>
        <w:bottom w:val="none" w:sz="0" w:space="0" w:color="auto"/>
        <w:right w:val="none" w:sz="0" w:space="0" w:color="auto"/>
      </w:divBdr>
    </w:div>
    <w:div w:id="1141191843">
      <w:bodyDiv w:val="1"/>
      <w:marLeft w:val="0"/>
      <w:marRight w:val="0"/>
      <w:marTop w:val="0"/>
      <w:marBottom w:val="0"/>
      <w:divBdr>
        <w:top w:val="none" w:sz="0" w:space="0" w:color="auto"/>
        <w:left w:val="none" w:sz="0" w:space="0" w:color="auto"/>
        <w:bottom w:val="none" w:sz="0" w:space="0" w:color="auto"/>
        <w:right w:val="none" w:sz="0" w:space="0" w:color="auto"/>
      </w:divBdr>
    </w:div>
    <w:div w:id="1215504136">
      <w:bodyDiv w:val="1"/>
      <w:marLeft w:val="0"/>
      <w:marRight w:val="0"/>
      <w:marTop w:val="0"/>
      <w:marBottom w:val="0"/>
      <w:divBdr>
        <w:top w:val="none" w:sz="0" w:space="0" w:color="auto"/>
        <w:left w:val="none" w:sz="0" w:space="0" w:color="auto"/>
        <w:bottom w:val="none" w:sz="0" w:space="0" w:color="auto"/>
        <w:right w:val="none" w:sz="0" w:space="0" w:color="auto"/>
      </w:divBdr>
    </w:div>
    <w:div w:id="1305546840">
      <w:bodyDiv w:val="1"/>
      <w:marLeft w:val="0"/>
      <w:marRight w:val="0"/>
      <w:marTop w:val="0"/>
      <w:marBottom w:val="0"/>
      <w:divBdr>
        <w:top w:val="none" w:sz="0" w:space="0" w:color="auto"/>
        <w:left w:val="none" w:sz="0" w:space="0" w:color="auto"/>
        <w:bottom w:val="none" w:sz="0" w:space="0" w:color="auto"/>
        <w:right w:val="none" w:sz="0" w:space="0" w:color="auto"/>
      </w:divBdr>
    </w:div>
    <w:div w:id="1437210162">
      <w:bodyDiv w:val="1"/>
      <w:marLeft w:val="0"/>
      <w:marRight w:val="0"/>
      <w:marTop w:val="0"/>
      <w:marBottom w:val="0"/>
      <w:divBdr>
        <w:top w:val="none" w:sz="0" w:space="0" w:color="auto"/>
        <w:left w:val="none" w:sz="0" w:space="0" w:color="auto"/>
        <w:bottom w:val="none" w:sz="0" w:space="0" w:color="auto"/>
        <w:right w:val="none" w:sz="0" w:space="0" w:color="auto"/>
      </w:divBdr>
    </w:div>
    <w:div w:id="1492064496">
      <w:bodyDiv w:val="1"/>
      <w:marLeft w:val="0"/>
      <w:marRight w:val="0"/>
      <w:marTop w:val="0"/>
      <w:marBottom w:val="0"/>
      <w:divBdr>
        <w:top w:val="none" w:sz="0" w:space="0" w:color="auto"/>
        <w:left w:val="none" w:sz="0" w:space="0" w:color="auto"/>
        <w:bottom w:val="none" w:sz="0" w:space="0" w:color="auto"/>
        <w:right w:val="none" w:sz="0" w:space="0" w:color="auto"/>
      </w:divBdr>
    </w:div>
    <w:div w:id="1497451082">
      <w:bodyDiv w:val="1"/>
      <w:marLeft w:val="0"/>
      <w:marRight w:val="0"/>
      <w:marTop w:val="0"/>
      <w:marBottom w:val="0"/>
      <w:divBdr>
        <w:top w:val="none" w:sz="0" w:space="0" w:color="auto"/>
        <w:left w:val="none" w:sz="0" w:space="0" w:color="auto"/>
        <w:bottom w:val="none" w:sz="0" w:space="0" w:color="auto"/>
        <w:right w:val="none" w:sz="0" w:space="0" w:color="auto"/>
      </w:divBdr>
      <w:divsChild>
        <w:div w:id="306328582">
          <w:marLeft w:val="0"/>
          <w:marRight w:val="0"/>
          <w:marTop w:val="0"/>
          <w:marBottom w:val="0"/>
          <w:divBdr>
            <w:top w:val="none" w:sz="0" w:space="0" w:color="auto"/>
            <w:left w:val="none" w:sz="0" w:space="0" w:color="auto"/>
            <w:bottom w:val="none" w:sz="0" w:space="0" w:color="auto"/>
            <w:right w:val="none" w:sz="0" w:space="0" w:color="auto"/>
          </w:divBdr>
          <w:divsChild>
            <w:div w:id="1612399328">
              <w:marLeft w:val="0"/>
              <w:marRight w:val="0"/>
              <w:marTop w:val="0"/>
              <w:marBottom w:val="0"/>
              <w:divBdr>
                <w:top w:val="none" w:sz="0" w:space="0" w:color="auto"/>
                <w:left w:val="none" w:sz="0" w:space="0" w:color="auto"/>
                <w:bottom w:val="none" w:sz="0" w:space="0" w:color="auto"/>
                <w:right w:val="none" w:sz="0" w:space="0" w:color="auto"/>
              </w:divBdr>
            </w:div>
            <w:div w:id="777990542">
              <w:marLeft w:val="0"/>
              <w:marRight w:val="0"/>
              <w:marTop w:val="0"/>
              <w:marBottom w:val="0"/>
              <w:divBdr>
                <w:top w:val="none" w:sz="0" w:space="0" w:color="auto"/>
                <w:left w:val="none" w:sz="0" w:space="0" w:color="auto"/>
                <w:bottom w:val="none" w:sz="0" w:space="0" w:color="auto"/>
                <w:right w:val="none" w:sz="0" w:space="0" w:color="auto"/>
              </w:divBdr>
            </w:div>
            <w:div w:id="1004480891">
              <w:marLeft w:val="0"/>
              <w:marRight w:val="0"/>
              <w:marTop w:val="0"/>
              <w:marBottom w:val="0"/>
              <w:divBdr>
                <w:top w:val="none" w:sz="0" w:space="0" w:color="auto"/>
                <w:left w:val="none" w:sz="0" w:space="0" w:color="auto"/>
                <w:bottom w:val="none" w:sz="0" w:space="0" w:color="auto"/>
                <w:right w:val="none" w:sz="0" w:space="0" w:color="auto"/>
              </w:divBdr>
            </w:div>
            <w:div w:id="197822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10728">
      <w:bodyDiv w:val="1"/>
      <w:marLeft w:val="0"/>
      <w:marRight w:val="0"/>
      <w:marTop w:val="0"/>
      <w:marBottom w:val="0"/>
      <w:divBdr>
        <w:top w:val="none" w:sz="0" w:space="0" w:color="auto"/>
        <w:left w:val="none" w:sz="0" w:space="0" w:color="auto"/>
        <w:bottom w:val="none" w:sz="0" w:space="0" w:color="auto"/>
        <w:right w:val="none" w:sz="0" w:space="0" w:color="auto"/>
      </w:divBdr>
    </w:div>
    <w:div w:id="1550606630">
      <w:bodyDiv w:val="1"/>
      <w:marLeft w:val="0"/>
      <w:marRight w:val="0"/>
      <w:marTop w:val="0"/>
      <w:marBottom w:val="0"/>
      <w:divBdr>
        <w:top w:val="none" w:sz="0" w:space="0" w:color="auto"/>
        <w:left w:val="none" w:sz="0" w:space="0" w:color="auto"/>
        <w:bottom w:val="none" w:sz="0" w:space="0" w:color="auto"/>
        <w:right w:val="none" w:sz="0" w:space="0" w:color="auto"/>
      </w:divBdr>
    </w:div>
    <w:div w:id="1605962700">
      <w:bodyDiv w:val="1"/>
      <w:marLeft w:val="0"/>
      <w:marRight w:val="0"/>
      <w:marTop w:val="0"/>
      <w:marBottom w:val="0"/>
      <w:divBdr>
        <w:top w:val="none" w:sz="0" w:space="0" w:color="auto"/>
        <w:left w:val="none" w:sz="0" w:space="0" w:color="auto"/>
        <w:bottom w:val="none" w:sz="0" w:space="0" w:color="auto"/>
        <w:right w:val="none" w:sz="0" w:space="0" w:color="auto"/>
      </w:divBdr>
    </w:div>
    <w:div w:id="1617639150">
      <w:bodyDiv w:val="1"/>
      <w:marLeft w:val="0"/>
      <w:marRight w:val="0"/>
      <w:marTop w:val="0"/>
      <w:marBottom w:val="0"/>
      <w:divBdr>
        <w:top w:val="none" w:sz="0" w:space="0" w:color="auto"/>
        <w:left w:val="none" w:sz="0" w:space="0" w:color="auto"/>
        <w:bottom w:val="none" w:sz="0" w:space="0" w:color="auto"/>
        <w:right w:val="none" w:sz="0" w:space="0" w:color="auto"/>
      </w:divBdr>
    </w:div>
    <w:div w:id="1699039464">
      <w:bodyDiv w:val="1"/>
      <w:marLeft w:val="0"/>
      <w:marRight w:val="0"/>
      <w:marTop w:val="0"/>
      <w:marBottom w:val="0"/>
      <w:divBdr>
        <w:top w:val="none" w:sz="0" w:space="0" w:color="auto"/>
        <w:left w:val="none" w:sz="0" w:space="0" w:color="auto"/>
        <w:bottom w:val="none" w:sz="0" w:space="0" w:color="auto"/>
        <w:right w:val="none" w:sz="0" w:space="0" w:color="auto"/>
      </w:divBdr>
    </w:div>
    <w:div w:id="1707294065">
      <w:bodyDiv w:val="1"/>
      <w:marLeft w:val="0"/>
      <w:marRight w:val="0"/>
      <w:marTop w:val="0"/>
      <w:marBottom w:val="0"/>
      <w:divBdr>
        <w:top w:val="none" w:sz="0" w:space="0" w:color="auto"/>
        <w:left w:val="none" w:sz="0" w:space="0" w:color="auto"/>
        <w:bottom w:val="none" w:sz="0" w:space="0" w:color="auto"/>
        <w:right w:val="none" w:sz="0" w:space="0" w:color="auto"/>
      </w:divBdr>
    </w:div>
    <w:div w:id="1776245270">
      <w:bodyDiv w:val="1"/>
      <w:marLeft w:val="0"/>
      <w:marRight w:val="0"/>
      <w:marTop w:val="0"/>
      <w:marBottom w:val="0"/>
      <w:divBdr>
        <w:top w:val="none" w:sz="0" w:space="0" w:color="auto"/>
        <w:left w:val="none" w:sz="0" w:space="0" w:color="auto"/>
        <w:bottom w:val="none" w:sz="0" w:space="0" w:color="auto"/>
        <w:right w:val="none" w:sz="0" w:space="0" w:color="auto"/>
      </w:divBdr>
    </w:div>
    <w:div w:id="1783769294">
      <w:bodyDiv w:val="1"/>
      <w:marLeft w:val="0"/>
      <w:marRight w:val="0"/>
      <w:marTop w:val="0"/>
      <w:marBottom w:val="0"/>
      <w:divBdr>
        <w:top w:val="none" w:sz="0" w:space="0" w:color="auto"/>
        <w:left w:val="none" w:sz="0" w:space="0" w:color="auto"/>
        <w:bottom w:val="none" w:sz="0" w:space="0" w:color="auto"/>
        <w:right w:val="none" w:sz="0" w:space="0" w:color="auto"/>
      </w:divBdr>
    </w:div>
    <w:div w:id="1841697346">
      <w:bodyDiv w:val="1"/>
      <w:marLeft w:val="0"/>
      <w:marRight w:val="0"/>
      <w:marTop w:val="0"/>
      <w:marBottom w:val="0"/>
      <w:divBdr>
        <w:top w:val="none" w:sz="0" w:space="0" w:color="auto"/>
        <w:left w:val="none" w:sz="0" w:space="0" w:color="auto"/>
        <w:bottom w:val="none" w:sz="0" w:space="0" w:color="auto"/>
        <w:right w:val="none" w:sz="0" w:space="0" w:color="auto"/>
      </w:divBdr>
    </w:div>
    <w:div w:id="1856842806">
      <w:bodyDiv w:val="1"/>
      <w:marLeft w:val="0"/>
      <w:marRight w:val="0"/>
      <w:marTop w:val="0"/>
      <w:marBottom w:val="0"/>
      <w:divBdr>
        <w:top w:val="none" w:sz="0" w:space="0" w:color="auto"/>
        <w:left w:val="none" w:sz="0" w:space="0" w:color="auto"/>
        <w:bottom w:val="none" w:sz="0" w:space="0" w:color="auto"/>
        <w:right w:val="none" w:sz="0" w:space="0" w:color="auto"/>
      </w:divBdr>
    </w:div>
    <w:div w:id="1915386858">
      <w:bodyDiv w:val="1"/>
      <w:marLeft w:val="0"/>
      <w:marRight w:val="0"/>
      <w:marTop w:val="0"/>
      <w:marBottom w:val="0"/>
      <w:divBdr>
        <w:top w:val="none" w:sz="0" w:space="0" w:color="auto"/>
        <w:left w:val="none" w:sz="0" w:space="0" w:color="auto"/>
        <w:bottom w:val="none" w:sz="0" w:space="0" w:color="auto"/>
        <w:right w:val="none" w:sz="0" w:space="0" w:color="auto"/>
      </w:divBdr>
    </w:div>
    <w:div w:id="1980306319">
      <w:bodyDiv w:val="1"/>
      <w:marLeft w:val="0"/>
      <w:marRight w:val="0"/>
      <w:marTop w:val="0"/>
      <w:marBottom w:val="0"/>
      <w:divBdr>
        <w:top w:val="none" w:sz="0" w:space="0" w:color="auto"/>
        <w:left w:val="none" w:sz="0" w:space="0" w:color="auto"/>
        <w:bottom w:val="none" w:sz="0" w:space="0" w:color="auto"/>
        <w:right w:val="none" w:sz="0" w:space="0" w:color="auto"/>
      </w:divBdr>
      <w:divsChild>
        <w:div w:id="870805605">
          <w:marLeft w:val="0"/>
          <w:marRight w:val="0"/>
          <w:marTop w:val="0"/>
          <w:marBottom w:val="0"/>
          <w:divBdr>
            <w:top w:val="none" w:sz="0" w:space="0" w:color="auto"/>
            <w:left w:val="none" w:sz="0" w:space="0" w:color="auto"/>
            <w:bottom w:val="none" w:sz="0" w:space="0" w:color="auto"/>
            <w:right w:val="none" w:sz="0" w:space="0" w:color="auto"/>
          </w:divBdr>
          <w:divsChild>
            <w:div w:id="1500735051">
              <w:marLeft w:val="0"/>
              <w:marRight w:val="0"/>
              <w:marTop w:val="0"/>
              <w:marBottom w:val="0"/>
              <w:divBdr>
                <w:top w:val="none" w:sz="0" w:space="0" w:color="auto"/>
                <w:left w:val="none" w:sz="0" w:space="0" w:color="auto"/>
                <w:bottom w:val="none" w:sz="0" w:space="0" w:color="auto"/>
                <w:right w:val="none" w:sz="0" w:space="0" w:color="auto"/>
              </w:divBdr>
            </w:div>
            <w:div w:id="39719341">
              <w:marLeft w:val="0"/>
              <w:marRight w:val="0"/>
              <w:marTop w:val="0"/>
              <w:marBottom w:val="0"/>
              <w:divBdr>
                <w:top w:val="none" w:sz="0" w:space="0" w:color="auto"/>
                <w:left w:val="none" w:sz="0" w:space="0" w:color="auto"/>
                <w:bottom w:val="none" w:sz="0" w:space="0" w:color="auto"/>
                <w:right w:val="none" w:sz="0" w:space="0" w:color="auto"/>
              </w:divBdr>
            </w:div>
            <w:div w:id="649017504">
              <w:marLeft w:val="0"/>
              <w:marRight w:val="0"/>
              <w:marTop w:val="0"/>
              <w:marBottom w:val="0"/>
              <w:divBdr>
                <w:top w:val="none" w:sz="0" w:space="0" w:color="auto"/>
                <w:left w:val="none" w:sz="0" w:space="0" w:color="auto"/>
                <w:bottom w:val="none" w:sz="0" w:space="0" w:color="auto"/>
                <w:right w:val="none" w:sz="0" w:space="0" w:color="auto"/>
              </w:divBdr>
            </w:div>
            <w:div w:id="190232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65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08FB15FC5E0C443939E5D8942BE284D" ma:contentTypeVersion="11" ma:contentTypeDescription="Crear nuevo documento." ma:contentTypeScope="" ma:versionID="2d6130986e40c4582e36f74f2798d05e">
  <xsd:schema xmlns:xsd="http://www.w3.org/2001/XMLSchema" xmlns:xs="http://www.w3.org/2001/XMLSchema" xmlns:p="http://schemas.microsoft.com/office/2006/metadata/properties" xmlns:ns2="454258b4-5203-40c8-a94b-0464f08b13b2" xmlns:ns3="8c84a205-940a-4880-b05c-401918761cfa" targetNamespace="http://schemas.microsoft.com/office/2006/metadata/properties" ma:root="true" ma:fieldsID="9ef81093765aaa66093bbc68c4166d6d" ns2:_="" ns3:_="">
    <xsd:import namespace="454258b4-5203-40c8-a94b-0464f08b13b2"/>
    <xsd:import namespace="8c84a205-940a-4880-b05c-401918761c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4258b4-5203-40c8-a94b-0464f08b13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84a205-940a-4880-b05c-401918761cfa"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57CDF-65A1-4463-AB14-79480361A4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284F6F4-2988-4E00-8B06-205BB63D4CF6}">
  <ds:schemaRefs>
    <ds:schemaRef ds:uri="http://schemas.microsoft.com/sharepoint/v3/contenttype/forms"/>
  </ds:schemaRefs>
</ds:datastoreItem>
</file>

<file path=customXml/itemProps3.xml><?xml version="1.0" encoding="utf-8"?>
<ds:datastoreItem xmlns:ds="http://schemas.openxmlformats.org/officeDocument/2006/customXml" ds:itemID="{F47F56A9-FF05-4A44-99D5-18FB8F174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4258b4-5203-40c8-a94b-0464f08b13b2"/>
    <ds:schemaRef ds:uri="8c84a205-940a-4880-b05c-401918761c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8B33E4-77A7-4A03-B6A4-50408C833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4440</Words>
  <Characters>24423</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 Carlos Arrazola Morales</dc:creator>
  <cp:keywords/>
  <dc:description/>
  <cp:lastModifiedBy>Miller Alfonso Ramirez Solorzano</cp:lastModifiedBy>
  <cp:revision>3</cp:revision>
  <cp:lastPrinted>2019-10-07T20:02:00Z</cp:lastPrinted>
  <dcterms:created xsi:type="dcterms:W3CDTF">2021-09-08T13:24:00Z</dcterms:created>
  <dcterms:modified xsi:type="dcterms:W3CDTF">2021-09-08T13:24:00Z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0x010100B08FB15FC5E0C443939E5D8942BE284D</vt:lpwstr>
  </property>
</Properties>
</file>