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8B0" w:rsidRPr="009A48B0" w:rsidRDefault="009A48B0" w:rsidP="009A48B0">
      <w:pPr>
        <w:tabs>
          <w:tab w:val="center" w:pos="3968"/>
          <w:tab w:val="left" w:pos="8789"/>
        </w:tabs>
        <w:suppressAutoHyphens/>
        <w:spacing w:line="360" w:lineRule="auto"/>
        <w:ind w:right="51"/>
        <w:jc w:val="center"/>
        <w:rPr>
          <w:rFonts w:ascii="Bookman Old Style" w:eastAsia="Times New Roman" w:hAnsi="Bookman Old Style" w:cs="Arial"/>
          <w:b/>
          <w:spacing w:val="-3"/>
          <w:w w:val="110"/>
          <w:sz w:val="28"/>
          <w:szCs w:val="28"/>
          <w:lang w:eastAsia="es-ES"/>
        </w:rPr>
      </w:pPr>
      <w:r w:rsidRPr="009A48B0">
        <w:rPr>
          <w:rFonts w:ascii="Bookman Old Style" w:eastAsia="Times New Roman" w:hAnsi="Bookman Old Style" w:cs="Arial"/>
          <w:b/>
          <w:spacing w:val="-3"/>
          <w:w w:val="110"/>
          <w:sz w:val="28"/>
          <w:szCs w:val="28"/>
          <w:lang w:eastAsia="es-ES"/>
        </w:rPr>
        <w:t>CORTE SUPREMA DE JUSTICIA</w:t>
      </w:r>
    </w:p>
    <w:p w:rsidR="009A48B0" w:rsidRPr="009A48B0" w:rsidRDefault="009A48B0" w:rsidP="009A48B0">
      <w:pPr>
        <w:keepNext/>
        <w:tabs>
          <w:tab w:val="center" w:pos="3968"/>
          <w:tab w:val="left" w:pos="8789"/>
        </w:tabs>
        <w:suppressAutoHyphens/>
        <w:spacing w:line="360" w:lineRule="auto"/>
        <w:ind w:right="51"/>
        <w:jc w:val="center"/>
        <w:outlineLvl w:val="3"/>
        <w:rPr>
          <w:rFonts w:ascii="Bookman Old Style" w:eastAsia="Times New Roman" w:hAnsi="Bookman Old Style" w:cs="Arial"/>
          <w:b/>
          <w:spacing w:val="-3"/>
          <w:w w:val="110"/>
          <w:sz w:val="28"/>
          <w:szCs w:val="28"/>
          <w:lang w:eastAsia="es-ES"/>
        </w:rPr>
      </w:pPr>
      <w:r w:rsidRPr="009A48B0">
        <w:rPr>
          <w:rFonts w:ascii="Bookman Old Style" w:eastAsia="Times New Roman" w:hAnsi="Bookman Old Style" w:cs="Arial"/>
          <w:b/>
          <w:spacing w:val="-3"/>
          <w:w w:val="110"/>
          <w:sz w:val="28"/>
          <w:szCs w:val="28"/>
          <w:lang w:eastAsia="es-ES"/>
        </w:rPr>
        <w:t>SALA DE CASACIÓN PENAL</w:t>
      </w:r>
    </w:p>
    <w:p w:rsidR="009A48B0" w:rsidRPr="009A48B0" w:rsidRDefault="009A48B0" w:rsidP="009A48B0">
      <w:pPr>
        <w:tabs>
          <w:tab w:val="center" w:pos="3968"/>
          <w:tab w:val="left" w:pos="8789"/>
        </w:tabs>
        <w:suppressAutoHyphens/>
        <w:spacing w:line="360" w:lineRule="auto"/>
        <w:ind w:right="51"/>
        <w:jc w:val="center"/>
        <w:rPr>
          <w:rFonts w:ascii="Bookman Old Style" w:eastAsia="Times New Roman" w:hAnsi="Bookman Old Style" w:cs="Arial"/>
          <w:b/>
          <w:spacing w:val="-3"/>
          <w:w w:val="110"/>
          <w:sz w:val="24"/>
          <w:szCs w:val="24"/>
          <w:u w:val="single"/>
          <w:lang w:eastAsia="es-ES"/>
        </w:rPr>
      </w:pPr>
    </w:p>
    <w:p w:rsidR="009A48B0" w:rsidRPr="009A48B0" w:rsidRDefault="009A48B0" w:rsidP="009A48B0">
      <w:pPr>
        <w:tabs>
          <w:tab w:val="center" w:pos="3968"/>
          <w:tab w:val="left" w:pos="8789"/>
        </w:tabs>
        <w:suppressAutoHyphens/>
        <w:spacing w:line="360" w:lineRule="auto"/>
        <w:ind w:right="51"/>
        <w:jc w:val="center"/>
        <w:rPr>
          <w:rFonts w:ascii="Bookman Old Style" w:eastAsia="Times New Roman" w:hAnsi="Bookman Old Style" w:cs="Arial"/>
          <w:b/>
          <w:spacing w:val="-3"/>
          <w:w w:val="110"/>
          <w:sz w:val="24"/>
          <w:szCs w:val="24"/>
          <w:u w:val="single"/>
          <w:lang w:eastAsia="es-ES"/>
        </w:rPr>
      </w:pPr>
    </w:p>
    <w:p w:rsidR="009A48B0" w:rsidRPr="009A48B0" w:rsidRDefault="009A48B0" w:rsidP="009A48B0">
      <w:pPr>
        <w:spacing w:line="360" w:lineRule="auto"/>
        <w:ind w:right="51"/>
        <w:jc w:val="center"/>
        <w:rPr>
          <w:rFonts w:ascii="Bookman Old Style" w:eastAsia="Times New Roman" w:hAnsi="Bookman Old Style" w:cs="Arial"/>
          <w:b/>
          <w:bCs/>
          <w:w w:val="110"/>
          <w:sz w:val="24"/>
          <w:szCs w:val="24"/>
          <w:lang w:eastAsia="es-ES"/>
        </w:rPr>
      </w:pPr>
    </w:p>
    <w:p w:rsidR="009A48B0" w:rsidRPr="009A48B0" w:rsidRDefault="009A48B0" w:rsidP="009A48B0">
      <w:pPr>
        <w:spacing w:line="360" w:lineRule="auto"/>
        <w:ind w:right="51"/>
        <w:jc w:val="center"/>
        <w:rPr>
          <w:rFonts w:ascii="Bookman Old Style" w:eastAsia="Times New Roman" w:hAnsi="Bookman Old Style" w:cs="Arial"/>
          <w:b/>
          <w:bCs/>
          <w:w w:val="110"/>
          <w:sz w:val="24"/>
          <w:szCs w:val="24"/>
          <w:lang w:eastAsia="es-ES"/>
        </w:rPr>
      </w:pPr>
    </w:p>
    <w:p w:rsidR="009A48B0" w:rsidRPr="009A48B0" w:rsidRDefault="009A48B0" w:rsidP="009A48B0">
      <w:pPr>
        <w:spacing w:line="360" w:lineRule="auto"/>
        <w:ind w:right="51"/>
        <w:jc w:val="center"/>
        <w:rPr>
          <w:rFonts w:ascii="Bookman Old Style" w:eastAsia="Times New Roman" w:hAnsi="Bookman Old Style" w:cs="Arial"/>
          <w:b/>
          <w:bCs/>
          <w:w w:val="110"/>
          <w:sz w:val="28"/>
          <w:szCs w:val="28"/>
          <w:lang w:eastAsia="es-ES"/>
        </w:rPr>
      </w:pPr>
      <w:r w:rsidRPr="009A48B0">
        <w:rPr>
          <w:rFonts w:ascii="Bookman Old Style" w:eastAsia="Times New Roman" w:hAnsi="Bookman Old Style" w:cs="Arial"/>
          <w:b/>
          <w:bCs/>
          <w:w w:val="110"/>
          <w:sz w:val="28"/>
          <w:szCs w:val="28"/>
          <w:lang w:eastAsia="es-ES"/>
        </w:rPr>
        <w:t>FERNANDO ALBERTO CASTRO CABALLERO</w:t>
      </w:r>
    </w:p>
    <w:p w:rsidR="009A48B0" w:rsidRPr="009A48B0" w:rsidRDefault="00C70559" w:rsidP="009A48B0">
      <w:pPr>
        <w:keepNext/>
        <w:tabs>
          <w:tab w:val="left" w:pos="2055"/>
          <w:tab w:val="center" w:pos="3968"/>
          <w:tab w:val="center" w:pos="4394"/>
          <w:tab w:val="left" w:pos="8789"/>
        </w:tabs>
        <w:suppressAutoHyphens/>
        <w:spacing w:line="360" w:lineRule="auto"/>
        <w:ind w:right="51"/>
        <w:jc w:val="center"/>
        <w:outlineLvl w:val="4"/>
        <w:rPr>
          <w:rFonts w:ascii="Bookman Old Style" w:eastAsia="Times New Roman" w:hAnsi="Bookman Old Style" w:cs="Arial"/>
          <w:b/>
          <w:spacing w:val="-3"/>
          <w:w w:val="110"/>
          <w:sz w:val="28"/>
          <w:szCs w:val="28"/>
          <w:lang w:eastAsia="es-ES"/>
        </w:rPr>
      </w:pPr>
      <w:r w:rsidRPr="00C70559">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75814975" wp14:editId="7BEC0CCE">
                <wp:simplePos x="0" y="0"/>
                <wp:positionH relativeFrom="column">
                  <wp:posOffset>-748804</wp:posOffset>
                </wp:positionH>
                <wp:positionV relativeFrom="paragraph">
                  <wp:posOffset>256478</wp:posOffset>
                </wp:positionV>
                <wp:extent cx="1647825" cy="1717288"/>
                <wp:effectExtent l="0" t="0" r="285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717288"/>
                        </a:xfrm>
                        <a:prstGeom prst="rect">
                          <a:avLst/>
                        </a:prstGeom>
                        <a:solidFill>
                          <a:srgbClr val="FFFFFF"/>
                        </a:solidFill>
                        <a:ln w="9525">
                          <a:solidFill>
                            <a:srgbClr val="000000"/>
                          </a:solidFill>
                          <a:miter lim="800000"/>
                          <a:headEnd/>
                          <a:tailEnd/>
                        </a:ln>
                      </wps:spPr>
                      <wps:txbx>
                        <w:txbxContent>
                          <w:p w:rsidR="00C70559" w:rsidRDefault="00C70559" w:rsidP="00C70559">
                            <w:pPr>
                              <w:jc w:val="both"/>
                              <w:rPr>
                                <w:sz w:val="16"/>
                                <w:szCs w:val="16"/>
                              </w:rPr>
                            </w:pPr>
                            <w:r w:rsidRPr="00C70559">
                              <w:rPr>
                                <w:sz w:val="18"/>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95pt;margin-top:20.2pt;width:129.75pt;height:1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">
                <v:textbox>
                  <w:txbxContent>
                    <w:p w:rsidR="00C70559" w:rsidRDefault="00C70559" w:rsidP="00C70559">
                      <w:pPr>
                        <w:jc w:val="both"/>
                        <w:rPr>
                          <w:sz w:val="16"/>
                          <w:szCs w:val="16"/>
                        </w:rPr>
                      </w:pPr>
                      <w:r w:rsidRPr="00C70559">
                        <w:rPr>
                          <w:sz w:val="18"/>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r>
                        <w:rPr>
                          <w:sz w:val="16"/>
                          <w:szCs w:val="16"/>
                        </w:rPr>
                        <w:t>.</w:t>
                      </w:r>
                    </w:p>
                  </w:txbxContent>
                </v:textbox>
              </v:shape>
            </w:pict>
          </mc:Fallback>
        </mc:AlternateContent>
      </w:r>
      <w:r w:rsidR="009A48B0" w:rsidRPr="009A48B0">
        <w:rPr>
          <w:rFonts w:ascii="Bookman Old Style" w:eastAsia="Times New Roman" w:hAnsi="Bookman Old Style" w:cs="Arial"/>
          <w:b/>
          <w:spacing w:val="-3"/>
          <w:w w:val="110"/>
          <w:sz w:val="28"/>
          <w:szCs w:val="28"/>
          <w:lang w:eastAsia="es-ES"/>
        </w:rPr>
        <w:t>Magistrado Ponente</w:t>
      </w:r>
    </w:p>
    <w:p w:rsidR="009A48B0" w:rsidRPr="009A48B0" w:rsidRDefault="009A48B0" w:rsidP="009A48B0">
      <w:pPr>
        <w:rPr>
          <w:rFonts w:ascii="Bookman Old Style" w:eastAsia="Times New Roman" w:hAnsi="Bookman Old Style" w:cs="Arial"/>
          <w:spacing w:val="-3"/>
          <w:w w:val="110"/>
          <w:sz w:val="28"/>
          <w:szCs w:val="28"/>
          <w:lang w:eastAsia="es-ES"/>
        </w:rPr>
      </w:pPr>
    </w:p>
    <w:p w:rsidR="009A48B0" w:rsidRPr="009A48B0" w:rsidRDefault="009A48B0" w:rsidP="009A48B0">
      <w:pPr>
        <w:rPr>
          <w:rFonts w:ascii="Bookman Old Style" w:eastAsia="Times New Roman" w:hAnsi="Bookman Old Style" w:cs="Arial"/>
          <w:spacing w:val="-3"/>
          <w:w w:val="110"/>
          <w:sz w:val="28"/>
          <w:szCs w:val="28"/>
          <w:lang w:eastAsia="es-ES"/>
        </w:rPr>
      </w:pPr>
    </w:p>
    <w:p w:rsidR="009A48B0" w:rsidRPr="009A48B0" w:rsidRDefault="009A48B0" w:rsidP="009A48B0">
      <w:pPr>
        <w:spacing w:line="360" w:lineRule="auto"/>
        <w:jc w:val="center"/>
        <w:rPr>
          <w:rFonts w:ascii="Bookman Old Style" w:eastAsia="Times New Roman" w:hAnsi="Bookman Old Style" w:cs="Arial"/>
          <w:spacing w:val="-3"/>
          <w:w w:val="110"/>
          <w:sz w:val="28"/>
          <w:szCs w:val="28"/>
          <w:lang w:eastAsia="es-ES"/>
        </w:rPr>
      </w:pPr>
      <w:r w:rsidRPr="009A48B0">
        <w:rPr>
          <w:rFonts w:ascii="Bookman Old Style" w:eastAsia="Times New Roman" w:hAnsi="Bookman Old Style" w:cs="Arial"/>
          <w:spacing w:val="-3"/>
          <w:w w:val="110"/>
          <w:sz w:val="28"/>
          <w:szCs w:val="28"/>
          <w:lang w:eastAsia="es-ES"/>
        </w:rPr>
        <w:t>AP5013-2014</w:t>
      </w:r>
    </w:p>
    <w:p w:rsidR="009A48B0" w:rsidRPr="009A48B0" w:rsidRDefault="009A48B0" w:rsidP="009A48B0">
      <w:pPr>
        <w:spacing w:line="360" w:lineRule="auto"/>
        <w:jc w:val="center"/>
        <w:rPr>
          <w:rFonts w:ascii="Bookman Old Style" w:eastAsia="Times New Roman" w:hAnsi="Bookman Old Style" w:cs="Arial"/>
          <w:spacing w:val="-3"/>
          <w:w w:val="110"/>
          <w:sz w:val="28"/>
          <w:szCs w:val="28"/>
          <w:lang w:eastAsia="es-ES"/>
        </w:rPr>
      </w:pPr>
      <w:r w:rsidRPr="009A48B0">
        <w:rPr>
          <w:rFonts w:ascii="Bookman Old Style" w:eastAsia="Times New Roman" w:hAnsi="Bookman Old Style" w:cs="Arial"/>
          <w:spacing w:val="-3"/>
          <w:w w:val="110"/>
          <w:sz w:val="28"/>
          <w:szCs w:val="28"/>
          <w:lang w:eastAsia="es-ES"/>
        </w:rPr>
        <w:t>Radicación n° 44066</w:t>
      </w:r>
    </w:p>
    <w:p w:rsidR="009A48B0" w:rsidRPr="009A48B0" w:rsidRDefault="009A48B0" w:rsidP="009A48B0">
      <w:pPr>
        <w:spacing w:line="360" w:lineRule="auto"/>
        <w:jc w:val="center"/>
        <w:rPr>
          <w:rFonts w:ascii="Bookman Old Style" w:eastAsia="Times New Roman" w:hAnsi="Bookman Old Style" w:cs="Arial"/>
          <w:spacing w:val="-3"/>
          <w:w w:val="110"/>
          <w:sz w:val="28"/>
          <w:szCs w:val="28"/>
          <w:lang w:eastAsia="es-ES"/>
        </w:rPr>
      </w:pPr>
      <w:bookmarkStart w:id="0" w:name="_GoBack"/>
      <w:bookmarkEnd w:id="0"/>
      <w:r w:rsidRPr="009A48B0">
        <w:rPr>
          <w:rFonts w:ascii="Bookman Old Style" w:eastAsia="Times New Roman" w:hAnsi="Bookman Old Style" w:cs="Arial"/>
          <w:spacing w:val="-3"/>
          <w:w w:val="110"/>
          <w:sz w:val="28"/>
          <w:szCs w:val="28"/>
          <w:lang w:eastAsia="es-ES"/>
        </w:rPr>
        <w:t>(Aprobado Acta No. 280)</w:t>
      </w:r>
    </w:p>
    <w:p w:rsidR="009A48B0" w:rsidRPr="009A48B0" w:rsidRDefault="009A48B0" w:rsidP="009A48B0">
      <w:pPr>
        <w:spacing w:line="360" w:lineRule="auto"/>
        <w:rPr>
          <w:rFonts w:ascii="Bookman Old Style" w:eastAsia="Times New Roman" w:hAnsi="Bookman Old Style" w:cs="Arial"/>
          <w:spacing w:val="-3"/>
          <w:w w:val="110"/>
          <w:sz w:val="28"/>
          <w:szCs w:val="28"/>
          <w:lang w:eastAsia="es-ES"/>
        </w:rPr>
      </w:pPr>
    </w:p>
    <w:p w:rsidR="009A48B0" w:rsidRPr="009A48B0" w:rsidRDefault="009A48B0" w:rsidP="009A48B0">
      <w:pPr>
        <w:spacing w:line="360" w:lineRule="auto"/>
        <w:rPr>
          <w:rFonts w:ascii="Bookman Old Style" w:eastAsia="Times New Roman" w:hAnsi="Bookman Old Style" w:cs="Arial"/>
          <w:spacing w:val="-3"/>
          <w:w w:val="110"/>
          <w:sz w:val="28"/>
          <w:szCs w:val="28"/>
          <w:lang w:eastAsia="es-ES"/>
        </w:rPr>
      </w:pPr>
    </w:p>
    <w:p w:rsidR="009A48B0" w:rsidRPr="009A48B0" w:rsidRDefault="009A48B0" w:rsidP="009A48B0">
      <w:pPr>
        <w:spacing w:line="360" w:lineRule="auto"/>
        <w:jc w:val="both"/>
        <w:rPr>
          <w:rFonts w:ascii="Bookman Old Style" w:eastAsia="Times New Roman" w:hAnsi="Bookman Old Style" w:cs="Arial"/>
          <w:spacing w:val="-3"/>
          <w:w w:val="110"/>
          <w:sz w:val="28"/>
          <w:szCs w:val="28"/>
          <w:lang w:eastAsia="es-ES"/>
        </w:rPr>
      </w:pPr>
      <w:r w:rsidRPr="009A48B0">
        <w:rPr>
          <w:rFonts w:ascii="Bookman Old Style" w:eastAsia="Times New Roman" w:hAnsi="Bookman Old Style" w:cs="Arial"/>
          <w:spacing w:val="-3"/>
          <w:w w:val="110"/>
          <w:sz w:val="28"/>
          <w:szCs w:val="28"/>
          <w:lang w:eastAsia="es-ES"/>
        </w:rPr>
        <w:tab/>
        <w:t>Bogotá, D.C., veintisiete (27) de agosto de dos mil catorce (2014).</w:t>
      </w:r>
    </w:p>
    <w:p w:rsidR="009A48B0" w:rsidRPr="009A48B0" w:rsidRDefault="009A48B0" w:rsidP="009A48B0">
      <w:pPr>
        <w:keepNext/>
        <w:tabs>
          <w:tab w:val="center" w:pos="3968"/>
          <w:tab w:val="left" w:pos="8789"/>
        </w:tabs>
        <w:suppressAutoHyphens/>
        <w:spacing w:line="360" w:lineRule="auto"/>
        <w:ind w:right="51"/>
        <w:outlineLvl w:val="0"/>
        <w:rPr>
          <w:rFonts w:ascii="Bookman Old Style" w:eastAsia="Times New Roman" w:hAnsi="Bookman Old Style" w:cs="Arial"/>
          <w:b/>
          <w:spacing w:val="-3"/>
          <w:w w:val="110"/>
          <w:sz w:val="28"/>
          <w:szCs w:val="28"/>
          <w:lang w:eastAsia="es-ES"/>
        </w:rPr>
      </w:pPr>
    </w:p>
    <w:p w:rsidR="009A48B0" w:rsidRPr="009A48B0" w:rsidRDefault="009A48B0" w:rsidP="009A48B0">
      <w:pPr>
        <w:keepNext/>
        <w:tabs>
          <w:tab w:val="center" w:pos="3968"/>
          <w:tab w:val="left" w:pos="8789"/>
        </w:tabs>
        <w:suppressAutoHyphens/>
        <w:spacing w:line="360" w:lineRule="auto"/>
        <w:ind w:right="51"/>
        <w:jc w:val="center"/>
        <w:outlineLvl w:val="0"/>
        <w:rPr>
          <w:rFonts w:ascii="Bookman Old Style" w:eastAsia="Times New Roman" w:hAnsi="Bookman Old Style" w:cs="Arial"/>
          <w:b/>
          <w:spacing w:val="-3"/>
          <w:w w:val="110"/>
          <w:sz w:val="28"/>
          <w:szCs w:val="28"/>
          <w:lang w:eastAsia="es-ES"/>
        </w:rPr>
      </w:pPr>
      <w:r w:rsidRPr="009A48B0">
        <w:rPr>
          <w:rFonts w:ascii="Bookman Old Style" w:eastAsia="Times New Roman" w:hAnsi="Bookman Old Style" w:cs="Arial"/>
          <w:b/>
          <w:spacing w:val="-3"/>
          <w:w w:val="110"/>
          <w:sz w:val="28"/>
          <w:szCs w:val="28"/>
          <w:lang w:eastAsia="es-ES"/>
        </w:rPr>
        <w:t>V I S T O S</w:t>
      </w:r>
    </w:p>
    <w:p w:rsidR="009A48B0" w:rsidRPr="009A48B0" w:rsidRDefault="009A48B0" w:rsidP="009A48B0">
      <w:pPr>
        <w:tabs>
          <w:tab w:val="left" w:pos="-720"/>
          <w:tab w:val="left" w:pos="8789"/>
        </w:tabs>
        <w:suppressAutoHyphens/>
        <w:spacing w:line="360" w:lineRule="auto"/>
        <w:ind w:right="51"/>
        <w:jc w:val="both"/>
        <w:rPr>
          <w:rFonts w:ascii="Bookman Old Style" w:eastAsia="Times New Roman" w:hAnsi="Bookman Old Style" w:cs="Arial"/>
          <w:w w:val="110"/>
          <w:sz w:val="28"/>
          <w:szCs w:val="28"/>
          <w:lang w:eastAsia="es-ES"/>
        </w:rPr>
      </w:pPr>
    </w:p>
    <w:p w:rsidR="009A48B0" w:rsidRPr="009A48B0" w:rsidRDefault="009A48B0" w:rsidP="009A48B0">
      <w:pPr>
        <w:tabs>
          <w:tab w:val="left" w:pos="-720"/>
          <w:tab w:val="left" w:pos="8789"/>
        </w:tabs>
        <w:suppressAutoHyphens/>
        <w:spacing w:line="360" w:lineRule="auto"/>
        <w:ind w:right="51" w:firstLine="709"/>
        <w:jc w:val="both"/>
        <w:rPr>
          <w:rFonts w:ascii="Bookman Old Style" w:eastAsia="Times New Roman" w:hAnsi="Bookman Old Style" w:cs="Arial"/>
          <w:w w:val="110"/>
          <w:sz w:val="28"/>
          <w:szCs w:val="28"/>
          <w:lang w:eastAsia="es-ES"/>
        </w:rPr>
      </w:pPr>
      <w:r w:rsidRPr="009A48B0">
        <w:rPr>
          <w:rFonts w:ascii="Bookman Old Style" w:eastAsia="Times New Roman" w:hAnsi="Bookman Old Style" w:cs="Arial"/>
          <w:w w:val="110"/>
          <w:sz w:val="28"/>
          <w:szCs w:val="28"/>
          <w:lang w:eastAsia="es-ES"/>
        </w:rPr>
        <w:t xml:space="preserve">Decide la Sala sobre la admisibilidad de la demanda de casación presentada por el delegado de la Fiscalía General de la Nación contra la sentencia dictada por la Sala Penal del Tribunal Superior de </w:t>
      </w:r>
      <w:r>
        <w:rPr>
          <w:rFonts w:ascii="Bookman Old Style" w:eastAsia="Times New Roman" w:hAnsi="Bookman Old Style" w:cs="Arial"/>
          <w:w w:val="110"/>
          <w:sz w:val="28"/>
          <w:szCs w:val="28"/>
          <w:lang w:eastAsia="es-ES"/>
        </w:rPr>
        <w:t>(…)</w:t>
      </w:r>
      <w:r w:rsidRPr="009A48B0">
        <w:rPr>
          <w:rFonts w:ascii="Bookman Old Style" w:eastAsia="Times New Roman" w:hAnsi="Bookman Old Style" w:cs="Arial"/>
          <w:w w:val="110"/>
          <w:sz w:val="28"/>
          <w:szCs w:val="28"/>
          <w:lang w:eastAsia="es-ES"/>
        </w:rPr>
        <w:t xml:space="preserve">, por cuyo medio revocó integralmente la proferida por el Juzgado 40 Penal del Circuito de Conocimiento de esta capital, que había condenado al acusado </w:t>
      </w:r>
      <w:r>
        <w:rPr>
          <w:rFonts w:ascii="Bookman Old Style" w:eastAsia="Times New Roman" w:hAnsi="Bookman Old Style" w:cs="Arial"/>
          <w:w w:val="110"/>
          <w:sz w:val="28"/>
          <w:szCs w:val="28"/>
          <w:lang w:eastAsia="es-ES"/>
        </w:rPr>
        <w:t xml:space="preserve">JDO </w:t>
      </w:r>
      <w:r w:rsidRPr="009A48B0">
        <w:rPr>
          <w:rFonts w:ascii="Bookman Old Style" w:eastAsia="Times New Roman" w:hAnsi="Bookman Old Style" w:cs="Arial"/>
          <w:w w:val="110"/>
          <w:sz w:val="28"/>
          <w:szCs w:val="28"/>
          <w:lang w:eastAsia="es-ES"/>
        </w:rPr>
        <w:t xml:space="preserve">por el delito de actos sexuales con menor de catorce años agravado.  </w:t>
      </w:r>
    </w:p>
    <w:p w:rsidR="009A48B0" w:rsidRPr="009A48B0" w:rsidRDefault="009A48B0" w:rsidP="009A48B0">
      <w:pPr>
        <w:tabs>
          <w:tab w:val="left" w:pos="-720"/>
          <w:tab w:val="left" w:pos="8789"/>
        </w:tabs>
        <w:suppressAutoHyphens/>
        <w:spacing w:line="360" w:lineRule="auto"/>
        <w:ind w:right="51"/>
        <w:rPr>
          <w:rFonts w:ascii="Bookman Old Style" w:eastAsia="Times New Roman" w:hAnsi="Bookman Old Style" w:cs="Arial"/>
          <w:spacing w:val="-3"/>
          <w:w w:val="110"/>
          <w:sz w:val="28"/>
          <w:szCs w:val="28"/>
          <w:lang w:eastAsia="es-ES"/>
        </w:rPr>
      </w:pPr>
    </w:p>
    <w:p w:rsidR="009A48B0" w:rsidRPr="009A48B0" w:rsidRDefault="009A48B0" w:rsidP="009A48B0">
      <w:pPr>
        <w:spacing w:line="360" w:lineRule="auto"/>
        <w:ind w:right="51"/>
        <w:jc w:val="center"/>
        <w:rPr>
          <w:rFonts w:ascii="Bookman Old Style" w:eastAsia="Times New Roman" w:hAnsi="Bookman Old Style" w:cs="Arial"/>
          <w:sz w:val="28"/>
          <w:szCs w:val="28"/>
          <w:lang w:eastAsia="es-ES"/>
        </w:rPr>
      </w:pPr>
      <w:r w:rsidRPr="009A48B0">
        <w:rPr>
          <w:rFonts w:ascii="Bookman Old Style" w:eastAsia="Times New Roman" w:hAnsi="Bookman Old Style" w:cs="Arial"/>
          <w:b/>
          <w:bCs/>
          <w:sz w:val="28"/>
          <w:szCs w:val="28"/>
          <w:lang w:eastAsia="es-ES"/>
        </w:rPr>
        <w:t>HECHOS</w:t>
      </w:r>
    </w:p>
    <w:p w:rsidR="009A48B0" w:rsidRPr="009A48B0" w:rsidRDefault="009A48B0" w:rsidP="009A48B0">
      <w:pPr>
        <w:ind w:right="51"/>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 xml:space="preserve">       </w:t>
      </w:r>
    </w:p>
    <w:p w:rsidR="009A48B0" w:rsidRPr="009A48B0" w:rsidRDefault="009A48B0" w:rsidP="009A48B0">
      <w:pPr>
        <w:spacing w:line="360" w:lineRule="auto"/>
        <w:ind w:right="51"/>
        <w:jc w:val="both"/>
        <w:rPr>
          <w:rFonts w:ascii="Bookman Old Style" w:eastAsia="Times New Roman" w:hAnsi="Bookman Old Style" w:cs="Arial"/>
          <w:iCs/>
          <w:sz w:val="28"/>
          <w:szCs w:val="28"/>
          <w:lang w:eastAsia="es-ES"/>
        </w:rPr>
      </w:pPr>
      <w:r w:rsidRPr="009A48B0">
        <w:rPr>
          <w:rFonts w:ascii="Bookman Old Style" w:eastAsia="Times New Roman" w:hAnsi="Bookman Old Style" w:cs="Arial"/>
          <w:b/>
          <w:sz w:val="28"/>
          <w:szCs w:val="28"/>
          <w:lang w:eastAsia="es-ES"/>
        </w:rPr>
        <w:tab/>
      </w:r>
      <w:r>
        <w:rPr>
          <w:rFonts w:ascii="Bookman Old Style" w:eastAsia="Times New Roman" w:hAnsi="Bookman Old Style" w:cs="Arial"/>
          <w:iCs/>
          <w:smallCaps/>
          <w:sz w:val="28"/>
          <w:szCs w:val="28"/>
          <w:lang w:eastAsia="es-ES"/>
        </w:rPr>
        <w:t>JDO</w:t>
      </w:r>
      <w:r w:rsidRPr="009A48B0">
        <w:rPr>
          <w:rFonts w:ascii="Bookman Old Style" w:eastAsia="Times New Roman" w:hAnsi="Bookman Old Style" w:cs="Arial"/>
          <w:iCs/>
          <w:sz w:val="28"/>
          <w:szCs w:val="28"/>
          <w:lang w:eastAsia="es-ES"/>
        </w:rPr>
        <w:t>, fue contratado para transportar en su moto a la menor K.T.B.S.</w:t>
      </w:r>
      <w:r w:rsidRPr="009A48B0">
        <w:rPr>
          <w:rFonts w:ascii="Bookman Old Style" w:eastAsia="Times New Roman" w:hAnsi="Bookman Old Style" w:cs="Times New Roman"/>
          <w:sz w:val="24"/>
          <w:szCs w:val="28"/>
          <w:vertAlign w:val="superscript"/>
          <w:lang w:eastAsia="es-ES"/>
        </w:rPr>
        <w:footnoteReference w:id="1"/>
      </w:r>
      <w:r w:rsidRPr="009A48B0">
        <w:rPr>
          <w:rFonts w:ascii="Bookman Old Style" w:eastAsia="Times New Roman" w:hAnsi="Bookman Old Style" w:cs="Arial"/>
          <w:iCs/>
          <w:sz w:val="28"/>
          <w:szCs w:val="28"/>
          <w:lang w:eastAsia="es-ES"/>
        </w:rPr>
        <w:t xml:space="preserve"> de 10 años de edad, de su residencia al colegio y viceversa, sucediendo que el 1º de marzo de 2013, cuando la llevaba a su casa, se desvió a su lugar de habitación y estando en el primer piso del inmueble donde reside, le dio un beso en los labios.  </w:t>
      </w:r>
    </w:p>
    <w:p w:rsidR="009A48B0" w:rsidRPr="009A48B0" w:rsidRDefault="009A48B0" w:rsidP="009A48B0">
      <w:pPr>
        <w:widowControl w:val="0"/>
        <w:autoSpaceDE w:val="0"/>
        <w:autoSpaceDN w:val="0"/>
        <w:adjustRightInd w:val="0"/>
        <w:spacing w:line="360" w:lineRule="auto"/>
        <w:jc w:val="both"/>
        <w:rPr>
          <w:rFonts w:ascii="Bookman Old Style" w:eastAsia="Times New Roman" w:hAnsi="Bookman Old Style" w:cs="Arial"/>
          <w:iCs/>
          <w:sz w:val="28"/>
          <w:szCs w:val="28"/>
          <w:lang w:eastAsia="es-ES"/>
        </w:rPr>
      </w:pPr>
    </w:p>
    <w:p w:rsidR="009A48B0" w:rsidRPr="009A48B0" w:rsidRDefault="009A48B0" w:rsidP="009A48B0">
      <w:pPr>
        <w:widowControl w:val="0"/>
        <w:autoSpaceDE w:val="0"/>
        <w:autoSpaceDN w:val="0"/>
        <w:adjustRightInd w:val="0"/>
        <w:spacing w:line="360" w:lineRule="auto"/>
        <w:jc w:val="center"/>
        <w:rPr>
          <w:rFonts w:ascii="Bookman Old Style" w:eastAsia="Times New Roman" w:hAnsi="Bookman Old Style" w:cs="Arial"/>
          <w:b/>
          <w:iCs/>
          <w:sz w:val="28"/>
          <w:szCs w:val="28"/>
          <w:lang w:eastAsia="es-ES"/>
        </w:rPr>
      </w:pPr>
      <w:r w:rsidRPr="009A48B0">
        <w:rPr>
          <w:rFonts w:ascii="Bookman Old Style" w:eastAsia="Times New Roman" w:hAnsi="Bookman Old Style" w:cs="Arial"/>
          <w:b/>
          <w:iCs/>
          <w:sz w:val="28"/>
          <w:szCs w:val="28"/>
          <w:lang w:eastAsia="es-ES"/>
        </w:rPr>
        <w:t>ACTUACIÓN PROCESAL</w:t>
      </w:r>
    </w:p>
    <w:p w:rsidR="009A48B0" w:rsidRPr="009A48B0" w:rsidRDefault="009A48B0" w:rsidP="009A48B0">
      <w:pPr>
        <w:tabs>
          <w:tab w:val="left" w:pos="-720"/>
          <w:tab w:val="left" w:pos="8789"/>
        </w:tabs>
        <w:suppressAutoHyphens/>
        <w:spacing w:line="360" w:lineRule="auto"/>
        <w:ind w:right="51" w:firstLine="709"/>
        <w:jc w:val="both"/>
        <w:rPr>
          <w:rFonts w:ascii="Bookman Old Style" w:eastAsia="Times New Roman" w:hAnsi="Bookman Old Style" w:cs="Arial"/>
          <w:b/>
          <w:sz w:val="28"/>
          <w:szCs w:val="28"/>
          <w:lang w:eastAsia="es-ES"/>
        </w:rPr>
      </w:pPr>
    </w:p>
    <w:p w:rsidR="009A48B0" w:rsidRPr="009A48B0" w:rsidRDefault="009A48B0" w:rsidP="009A48B0">
      <w:pPr>
        <w:tabs>
          <w:tab w:val="left" w:pos="-720"/>
          <w:tab w:val="left" w:pos="8789"/>
        </w:tabs>
        <w:suppressAutoHyphens/>
        <w:spacing w:line="360" w:lineRule="auto"/>
        <w:ind w:right="51"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b/>
          <w:sz w:val="28"/>
          <w:szCs w:val="28"/>
          <w:lang w:eastAsia="es-ES"/>
        </w:rPr>
        <w:t xml:space="preserve">1. </w:t>
      </w:r>
      <w:r w:rsidRPr="009A48B0">
        <w:rPr>
          <w:rFonts w:ascii="Bookman Old Style" w:eastAsia="Times New Roman" w:hAnsi="Bookman Old Style" w:cs="Arial"/>
          <w:sz w:val="28"/>
          <w:szCs w:val="28"/>
          <w:lang w:eastAsia="es-ES"/>
        </w:rPr>
        <w:t xml:space="preserve">Por los anteriores hechos, el 2 de marzo de 2013, ante el Juzgado 6º Penal Municipal con Función de Control de Garantías de </w:t>
      </w:r>
      <w:r>
        <w:rPr>
          <w:rFonts w:ascii="Bookman Old Style" w:eastAsia="Times New Roman" w:hAnsi="Bookman Old Style" w:cs="Arial"/>
          <w:sz w:val="28"/>
          <w:szCs w:val="28"/>
          <w:lang w:eastAsia="es-ES"/>
        </w:rPr>
        <w:t>(…)</w:t>
      </w:r>
      <w:r w:rsidRPr="009A48B0">
        <w:rPr>
          <w:rFonts w:ascii="Bookman Old Style" w:eastAsia="Times New Roman" w:hAnsi="Bookman Old Style" w:cs="Arial"/>
          <w:sz w:val="28"/>
          <w:szCs w:val="28"/>
          <w:lang w:eastAsia="es-ES"/>
        </w:rPr>
        <w:t xml:space="preserve">, una vez legalizada la captura de </w:t>
      </w:r>
      <w:r>
        <w:rPr>
          <w:rFonts w:ascii="Bookman Old Style" w:eastAsia="Times New Roman" w:hAnsi="Bookman Old Style" w:cs="Arial"/>
          <w:iCs/>
          <w:smallCaps/>
          <w:sz w:val="28"/>
          <w:szCs w:val="28"/>
          <w:lang w:eastAsia="es-ES"/>
        </w:rPr>
        <w:t>JDO</w:t>
      </w:r>
      <w:r w:rsidRPr="009A48B0">
        <w:rPr>
          <w:rFonts w:ascii="Bookman Old Style" w:eastAsia="Times New Roman" w:hAnsi="Bookman Old Style" w:cs="Arial"/>
          <w:sz w:val="28"/>
          <w:szCs w:val="28"/>
          <w:lang w:eastAsia="es-ES"/>
        </w:rPr>
        <w:t>, la Fiscalía le formuló imputación como autor del delito de actos sexuales con menor de catorce años agravado (arts. 209 y 211-2 del C.P.); quien rechazó los cargos.</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 xml:space="preserve">Seguidamente, a petición del representante del ente acusador, se le impuso medida de aseguramiento privativa de la libertad en centro de reclusión.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Times New Roman"/>
          <w:b/>
          <w:sz w:val="28"/>
          <w:szCs w:val="28"/>
          <w:lang w:eastAsia="es-ES"/>
        </w:rPr>
        <w:tab/>
        <w:t>2.</w:t>
      </w:r>
      <w:r w:rsidRPr="009A48B0">
        <w:rPr>
          <w:rFonts w:ascii="Bookman Old Style" w:eastAsia="Times New Roman" w:hAnsi="Bookman Old Style" w:cs="Times New Roman"/>
          <w:sz w:val="28"/>
          <w:szCs w:val="28"/>
          <w:lang w:eastAsia="es-ES"/>
        </w:rPr>
        <w:t xml:space="preserve"> El 19 de abril de la misma anualidad, la Fiscalía 2 Seccional radicó escrito de acusación y, el 22 de mayo siguiente, ante el Juzgado 40 Penal del Circuito de </w:t>
      </w:r>
      <w:r>
        <w:rPr>
          <w:rFonts w:ascii="Bookman Old Style" w:eastAsia="Times New Roman" w:hAnsi="Bookman Old Style" w:cs="Times New Roman"/>
          <w:sz w:val="28"/>
          <w:szCs w:val="28"/>
          <w:lang w:eastAsia="es-ES"/>
        </w:rPr>
        <w:t>(…)</w:t>
      </w:r>
      <w:r w:rsidRPr="009A48B0">
        <w:rPr>
          <w:rFonts w:ascii="Bookman Old Style" w:eastAsia="Times New Roman" w:hAnsi="Bookman Old Style" w:cs="Times New Roman"/>
          <w:sz w:val="28"/>
          <w:szCs w:val="28"/>
          <w:lang w:eastAsia="es-ES"/>
        </w:rPr>
        <w:t xml:space="preserve">, se </w:t>
      </w:r>
      <w:r w:rsidRPr="009A48B0">
        <w:rPr>
          <w:rFonts w:ascii="Bookman Old Style" w:eastAsia="Times New Roman" w:hAnsi="Bookman Old Style" w:cs="Arial"/>
          <w:sz w:val="28"/>
          <w:szCs w:val="28"/>
          <w:lang w:eastAsia="es-ES"/>
        </w:rPr>
        <w:t>cumplió la audiencia respectiva en la que reiteró los cargos atribuidos en la formulación de imputación.</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after="120"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lastRenderedPageBreak/>
        <w:tab/>
      </w:r>
      <w:r w:rsidRPr="009A48B0">
        <w:rPr>
          <w:rFonts w:ascii="Bookman Old Style" w:eastAsia="Times New Roman" w:hAnsi="Bookman Old Style" w:cs="Arial"/>
          <w:b/>
          <w:sz w:val="28"/>
          <w:szCs w:val="28"/>
          <w:lang w:eastAsia="es-ES"/>
        </w:rPr>
        <w:t>3.</w:t>
      </w:r>
      <w:r w:rsidRPr="009A48B0">
        <w:rPr>
          <w:rFonts w:ascii="Bookman Old Style" w:eastAsia="Times New Roman" w:hAnsi="Bookman Old Style" w:cs="Arial"/>
          <w:sz w:val="28"/>
          <w:szCs w:val="28"/>
          <w:lang w:eastAsia="es-ES"/>
        </w:rPr>
        <w:t xml:space="preserve"> Realizada la audiencia preparatoria y agotado el juicio oral, el 17 de enero de 2014 se dictó la respectiva sentencia, en la que se condenó al procesado</w:t>
      </w:r>
      <w:r w:rsidRPr="009A48B0">
        <w:rPr>
          <w:rFonts w:ascii="Bookman Old Style" w:eastAsia="Times New Roman" w:hAnsi="Bookman Old Style" w:cs="Arial"/>
          <w:smallCaps/>
          <w:sz w:val="28"/>
          <w:szCs w:val="28"/>
          <w:lang w:eastAsia="es-ES"/>
        </w:rPr>
        <w:t xml:space="preserve"> </w:t>
      </w:r>
      <w:r>
        <w:rPr>
          <w:rFonts w:ascii="Bookman Old Style" w:eastAsia="Times New Roman" w:hAnsi="Bookman Old Style" w:cs="Arial"/>
          <w:iCs/>
          <w:smallCaps/>
          <w:sz w:val="28"/>
          <w:szCs w:val="28"/>
          <w:lang w:eastAsia="es-ES"/>
        </w:rPr>
        <w:t>JDO</w:t>
      </w:r>
      <w:r w:rsidRPr="009A48B0">
        <w:rPr>
          <w:rFonts w:ascii="Bookman Old Style" w:eastAsia="Times New Roman" w:hAnsi="Bookman Old Style" w:cs="Arial"/>
          <w:iCs/>
          <w:smallCaps/>
          <w:sz w:val="28"/>
          <w:szCs w:val="28"/>
          <w:lang w:eastAsia="es-ES"/>
        </w:rPr>
        <w:t xml:space="preserve"> </w:t>
      </w:r>
      <w:r w:rsidRPr="009A48B0">
        <w:rPr>
          <w:rFonts w:ascii="Bookman Old Style" w:eastAsia="Times New Roman" w:hAnsi="Bookman Old Style" w:cs="Arial"/>
          <w:sz w:val="28"/>
          <w:szCs w:val="28"/>
          <w:lang w:eastAsia="es-ES"/>
        </w:rPr>
        <w:t>a la pena principal de 144 meses de prisión, así como a la accesoria de inhabilitación para el ejercicio de derechos y funciones públicas por el mismo término de la privativa de la libertad, como autor del delito de actos sexuales con menor de catorce años agravado, negándosele los mecanismos sustitutivos de la suspensión condicional de la ejecución de la pena y la prisión domiciliaria.</w:t>
      </w:r>
    </w:p>
    <w:p w:rsidR="009A48B0" w:rsidRPr="009A48B0" w:rsidRDefault="009A48B0" w:rsidP="009A48B0">
      <w:pPr>
        <w:spacing w:line="360" w:lineRule="auto"/>
        <w:jc w:val="both"/>
        <w:rPr>
          <w:rFonts w:ascii="Bookman Old Style" w:eastAsia="Times New Roman" w:hAnsi="Bookman Old Style" w:cs="Times New Roman"/>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Times New Roman"/>
          <w:sz w:val="28"/>
          <w:szCs w:val="28"/>
          <w:lang w:eastAsia="es-ES"/>
        </w:rPr>
        <w:tab/>
      </w:r>
      <w:r w:rsidRPr="009A48B0">
        <w:rPr>
          <w:rFonts w:ascii="Bookman Old Style" w:eastAsia="Times New Roman" w:hAnsi="Bookman Old Style" w:cs="Arial"/>
          <w:b/>
          <w:sz w:val="28"/>
          <w:szCs w:val="28"/>
          <w:lang w:eastAsia="es-ES"/>
        </w:rPr>
        <w:t>4.</w:t>
      </w:r>
      <w:r w:rsidRPr="009A48B0">
        <w:rPr>
          <w:rFonts w:ascii="Bookman Old Style" w:eastAsia="Times New Roman" w:hAnsi="Bookman Old Style" w:cs="Arial"/>
          <w:sz w:val="28"/>
          <w:szCs w:val="28"/>
          <w:lang w:eastAsia="es-ES"/>
        </w:rPr>
        <w:t xml:space="preserve"> Apelado el fallo por el defensor del incriminado, en sentencia adiada 24 de abril de 2014, el Tribunal Superior de </w:t>
      </w:r>
      <w:r>
        <w:rPr>
          <w:rFonts w:ascii="Bookman Old Style" w:eastAsia="Times New Roman" w:hAnsi="Bookman Old Style" w:cs="Arial"/>
          <w:sz w:val="28"/>
          <w:szCs w:val="28"/>
          <w:lang w:eastAsia="es-ES"/>
        </w:rPr>
        <w:t>(…)</w:t>
      </w:r>
      <w:r w:rsidRPr="009A48B0">
        <w:rPr>
          <w:rFonts w:ascii="Bookman Old Style" w:eastAsia="Times New Roman" w:hAnsi="Bookman Old Style" w:cs="Arial"/>
          <w:sz w:val="28"/>
          <w:szCs w:val="28"/>
          <w:lang w:eastAsia="es-ES"/>
        </w:rPr>
        <w:t xml:space="preserve"> lo revocó y, en su lugar, lo absolvió de los cargos formulados en la acusación. </w:t>
      </w:r>
    </w:p>
    <w:p w:rsidR="009A48B0" w:rsidRPr="009A48B0" w:rsidRDefault="009A48B0" w:rsidP="009A48B0">
      <w:pPr>
        <w:spacing w:line="360" w:lineRule="auto"/>
        <w:jc w:val="both"/>
        <w:rPr>
          <w:rFonts w:ascii="Bookman Old Style" w:eastAsia="Times New Roman" w:hAnsi="Bookman Old Style" w:cs="Times New Roman"/>
          <w:sz w:val="28"/>
          <w:szCs w:val="28"/>
          <w:lang w:eastAsia="es-ES"/>
        </w:rPr>
      </w:pPr>
    </w:p>
    <w:p w:rsidR="009A48B0" w:rsidRPr="009A48B0" w:rsidRDefault="009A48B0" w:rsidP="009A48B0">
      <w:pPr>
        <w:spacing w:line="360" w:lineRule="auto"/>
        <w:jc w:val="both"/>
        <w:rPr>
          <w:rFonts w:ascii="Bookman Old Style" w:eastAsia="Times New Roman" w:hAnsi="Bookman Old Style" w:cs="Times New Roman"/>
          <w:sz w:val="28"/>
          <w:szCs w:val="28"/>
          <w:lang w:eastAsia="es-ES"/>
        </w:rPr>
      </w:pPr>
      <w:r w:rsidRPr="009A48B0">
        <w:rPr>
          <w:rFonts w:ascii="Bookman Old Style" w:eastAsia="Times New Roman" w:hAnsi="Bookman Old Style" w:cs="Times New Roman"/>
          <w:sz w:val="28"/>
          <w:szCs w:val="28"/>
          <w:lang w:eastAsia="es-ES"/>
        </w:rPr>
        <w:tab/>
      </w:r>
      <w:r w:rsidRPr="009A48B0">
        <w:rPr>
          <w:rFonts w:ascii="Bookman Old Style" w:eastAsia="Times New Roman" w:hAnsi="Bookman Old Style" w:cs="Times New Roman"/>
          <w:b/>
          <w:sz w:val="28"/>
          <w:szCs w:val="28"/>
          <w:lang w:eastAsia="es-ES"/>
        </w:rPr>
        <w:t>5.</w:t>
      </w:r>
      <w:r w:rsidRPr="009A48B0">
        <w:rPr>
          <w:rFonts w:ascii="Bookman Old Style" w:eastAsia="Times New Roman" w:hAnsi="Bookman Old Style" w:cs="Times New Roman"/>
          <w:sz w:val="28"/>
          <w:szCs w:val="28"/>
          <w:lang w:eastAsia="es-ES"/>
        </w:rPr>
        <w:t xml:space="preserve"> Contra la decisión de segundo grado, el delegado de la Fiscalía General de la Nación, interpuso recurso de casación.</w:t>
      </w:r>
    </w:p>
    <w:p w:rsidR="009A48B0" w:rsidRPr="009A48B0" w:rsidRDefault="009A48B0" w:rsidP="009A48B0">
      <w:pPr>
        <w:spacing w:line="360" w:lineRule="auto"/>
        <w:jc w:val="both"/>
        <w:rPr>
          <w:rFonts w:ascii="Bookman Old Style" w:eastAsia="Times New Roman" w:hAnsi="Bookman Old Style" w:cs="Times New Roman"/>
          <w:sz w:val="28"/>
          <w:szCs w:val="28"/>
          <w:lang w:eastAsia="es-ES"/>
        </w:rPr>
      </w:pPr>
    </w:p>
    <w:p w:rsidR="009A48B0" w:rsidRPr="009A48B0" w:rsidRDefault="009A48B0" w:rsidP="009A48B0">
      <w:pPr>
        <w:spacing w:line="360" w:lineRule="auto"/>
        <w:jc w:val="center"/>
        <w:rPr>
          <w:rFonts w:ascii="Bookman Old Style" w:eastAsia="Times New Roman" w:hAnsi="Bookman Old Style" w:cs="Arial"/>
          <w:b/>
          <w:sz w:val="28"/>
          <w:szCs w:val="28"/>
          <w:lang w:eastAsia="es-ES"/>
        </w:rPr>
      </w:pPr>
      <w:r w:rsidRPr="009A48B0">
        <w:rPr>
          <w:rFonts w:ascii="Bookman Old Style" w:eastAsia="Times New Roman" w:hAnsi="Bookman Old Style" w:cs="Arial"/>
          <w:b/>
          <w:sz w:val="28"/>
          <w:szCs w:val="28"/>
          <w:lang w:eastAsia="es-ES"/>
        </w:rPr>
        <w:t>SÍNTESIS DE LA DEMANDA</w:t>
      </w:r>
    </w:p>
    <w:p w:rsidR="009A48B0" w:rsidRPr="009A48B0" w:rsidRDefault="009A48B0" w:rsidP="009A48B0">
      <w:pPr>
        <w:spacing w:line="360" w:lineRule="auto"/>
        <w:ind w:right="20" w:firstLine="709"/>
        <w:jc w:val="both"/>
        <w:rPr>
          <w:rFonts w:ascii="Bookman Old Style" w:eastAsia="Times New Roman" w:hAnsi="Bookman Old Style" w:cs="Arial"/>
          <w:sz w:val="28"/>
          <w:szCs w:val="28"/>
          <w:lang w:eastAsia="es-ES"/>
        </w:rPr>
      </w:pPr>
    </w:p>
    <w:p w:rsidR="009A48B0" w:rsidRPr="009A48B0" w:rsidRDefault="009A48B0" w:rsidP="009A48B0">
      <w:pPr>
        <w:spacing w:line="360" w:lineRule="auto"/>
        <w:ind w:right="20"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 xml:space="preserve">Invocando como fines del recurso extraordinario la efectividad del derecho material y la reparación de los agravios inferidos a la víctima, cuya calidad resalta por tratarse en este caso de una menor de edad que goza de especial protección del Estado, el demandante formula dos reproches contra la sentencia de segundo grado, al amparo de las causales primera y tercera previstas en el artículo </w:t>
      </w:r>
      <w:r w:rsidRPr="009A48B0">
        <w:rPr>
          <w:rFonts w:ascii="Bookman Old Style" w:eastAsia="Times New Roman" w:hAnsi="Bookman Old Style" w:cs="Arial"/>
          <w:sz w:val="28"/>
          <w:szCs w:val="28"/>
          <w:lang w:eastAsia="es-ES"/>
        </w:rPr>
        <w:lastRenderedPageBreak/>
        <w:t>181 de la Ley 906 de 2004, que se sintetizan de la siguiente manera:</w:t>
      </w:r>
    </w:p>
    <w:p w:rsidR="009A48B0" w:rsidRPr="009A48B0" w:rsidRDefault="009A48B0" w:rsidP="009A48B0">
      <w:pPr>
        <w:spacing w:after="120" w:line="360" w:lineRule="auto"/>
        <w:jc w:val="both"/>
        <w:rPr>
          <w:rFonts w:ascii="Bookman Old Style" w:eastAsia="Times New Roman" w:hAnsi="Bookman Old Style" w:cs="Arial"/>
          <w:b/>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b/>
          <w:sz w:val="28"/>
          <w:szCs w:val="28"/>
          <w:lang w:eastAsia="es-ES"/>
        </w:rPr>
        <w:tab/>
        <w:t>Primer cargo (principal).</w:t>
      </w:r>
      <w:r w:rsidRPr="009A48B0">
        <w:rPr>
          <w:rFonts w:ascii="Bookman Old Style" w:eastAsia="Times New Roman" w:hAnsi="Bookman Old Style" w:cs="Arial"/>
          <w:sz w:val="28"/>
          <w:szCs w:val="28"/>
          <w:lang w:eastAsia="es-ES"/>
        </w:rPr>
        <w:t xml:space="preserve"> Acusa al Tribunal de haber incurrido en la violación directa de la ley sustancial por falta de aplicación de los artículos 1 y 2 de la Ley 1652 de 2013, por medio de la cual se dictan disposiciones acerca de la entrevista y el testimonio en procesos penales de niños, niñas y adolescentes víctimas de delitos contra la libertad, integridad y formación sexuales.</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Luego de citar el contenido de la mencionada ley y los apartes centrales de la sentencia C-177 de 2014, que la declaró exequible, el censor señala que a partir de su expedición quedó zanjada la discusión sobre cómo debe apreciar el juzgador el testimonio de niños, niñas y adolescentes víctimas de delitos contra la libertad, integridad y formación sexuales «</w:t>
      </w:r>
      <w:r w:rsidRPr="009A48B0">
        <w:rPr>
          <w:rFonts w:ascii="Bookman Old Style" w:eastAsia="Times New Roman" w:hAnsi="Bookman Old Style" w:cs="Arial"/>
          <w:i/>
          <w:sz w:val="28"/>
          <w:szCs w:val="28"/>
          <w:lang w:eastAsia="es-ES"/>
        </w:rPr>
        <w:t>cuando medien entrevistas forenses</w:t>
      </w:r>
      <w:r w:rsidRPr="009A48B0">
        <w:rPr>
          <w:rFonts w:ascii="Bookman Old Style" w:eastAsia="Times New Roman" w:hAnsi="Bookman Old Style" w:cs="Arial"/>
          <w:sz w:val="28"/>
          <w:szCs w:val="28"/>
          <w:lang w:eastAsia="es-ES"/>
        </w:rPr>
        <w:t>» y, afirma, que la normativa en cuestión «</w:t>
      </w:r>
      <w:r w:rsidRPr="009A48B0">
        <w:rPr>
          <w:rFonts w:ascii="Bookman Old Style" w:eastAsia="Times New Roman" w:hAnsi="Bookman Old Style" w:cs="Arial"/>
          <w:i/>
          <w:sz w:val="28"/>
          <w:szCs w:val="28"/>
          <w:lang w:eastAsia="es-ES"/>
        </w:rPr>
        <w:t>le confiere a estas últimas la calidad de prueba autónoma</w:t>
      </w:r>
      <w:r w:rsidRPr="009A48B0">
        <w:rPr>
          <w:rFonts w:ascii="Bookman Old Style" w:eastAsia="Times New Roman" w:hAnsi="Bookman Old Style" w:cs="Arial"/>
          <w:sz w:val="28"/>
          <w:szCs w:val="28"/>
          <w:lang w:eastAsia="es-ES"/>
        </w:rPr>
        <w:t xml:space="preserve">».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 xml:space="preserve">Agrega que no obstante lo anterior, el ad </w:t>
      </w:r>
      <w:proofErr w:type="spellStart"/>
      <w:r w:rsidRPr="009A48B0">
        <w:rPr>
          <w:rFonts w:ascii="Bookman Old Style" w:eastAsia="Times New Roman" w:hAnsi="Bookman Old Style" w:cs="Arial"/>
          <w:sz w:val="28"/>
          <w:szCs w:val="28"/>
          <w:lang w:eastAsia="es-ES"/>
        </w:rPr>
        <w:t>quem</w:t>
      </w:r>
      <w:proofErr w:type="spellEnd"/>
      <w:r w:rsidRPr="009A48B0">
        <w:rPr>
          <w:rFonts w:ascii="Bookman Old Style" w:eastAsia="Times New Roman" w:hAnsi="Bookman Old Style" w:cs="Arial"/>
          <w:sz w:val="28"/>
          <w:szCs w:val="28"/>
          <w:lang w:eastAsia="es-ES"/>
        </w:rPr>
        <w:t xml:space="preserve"> pretermitió la aplicación de la Ley 1652 de 2013 por considerarla inconstitucional, pero se abstuvo de indicar las razones que sustentan dicha conclusión, desconociendo la sentencia de la Corte Constitucional que la declaró exequible; por tanto, afirma, que la falta de aplicación de la referida normativa, que estima es de «</w:t>
      </w:r>
      <w:r w:rsidRPr="009A48B0">
        <w:rPr>
          <w:rFonts w:ascii="Bookman Old Style" w:eastAsia="Times New Roman" w:hAnsi="Bookman Old Style" w:cs="Arial"/>
          <w:i/>
          <w:sz w:val="28"/>
          <w:szCs w:val="28"/>
          <w:lang w:eastAsia="es-ES"/>
        </w:rPr>
        <w:t>raigambre sustancial</w:t>
      </w:r>
      <w:r w:rsidRPr="009A48B0">
        <w:rPr>
          <w:rFonts w:ascii="Bookman Old Style" w:eastAsia="Times New Roman" w:hAnsi="Bookman Old Style" w:cs="Arial"/>
          <w:sz w:val="28"/>
          <w:szCs w:val="28"/>
          <w:lang w:eastAsia="es-ES"/>
        </w:rPr>
        <w:t>», claramente «</w:t>
      </w:r>
      <w:r w:rsidRPr="009A48B0">
        <w:rPr>
          <w:rFonts w:ascii="Bookman Old Style" w:eastAsia="Times New Roman" w:hAnsi="Bookman Old Style" w:cs="Arial"/>
          <w:i/>
          <w:sz w:val="28"/>
          <w:szCs w:val="28"/>
          <w:lang w:eastAsia="es-ES"/>
        </w:rPr>
        <w:t>aflora arbitraria y caprichosa</w:t>
      </w:r>
      <w:r w:rsidRPr="009A48B0">
        <w:rPr>
          <w:rFonts w:ascii="Bookman Old Style" w:eastAsia="Times New Roman" w:hAnsi="Bookman Old Style" w:cs="Arial"/>
          <w:sz w:val="28"/>
          <w:szCs w:val="28"/>
          <w:lang w:eastAsia="es-ES"/>
        </w:rPr>
        <w:t xml:space="preserve">».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lastRenderedPageBreak/>
        <w:tab/>
        <w:t xml:space="preserve">Sobre la trascendencia del vicio denunciado, expone que de haberse aplicado al asunto de la especie el </w:t>
      </w:r>
      <w:proofErr w:type="spellStart"/>
      <w:r w:rsidRPr="009A48B0">
        <w:rPr>
          <w:rFonts w:ascii="Bookman Old Style" w:eastAsia="Times New Roman" w:hAnsi="Bookman Old Style" w:cs="Arial"/>
          <w:sz w:val="28"/>
          <w:szCs w:val="28"/>
          <w:lang w:eastAsia="es-ES"/>
        </w:rPr>
        <w:t>pluricitado</w:t>
      </w:r>
      <w:proofErr w:type="spellEnd"/>
      <w:r w:rsidRPr="009A48B0">
        <w:rPr>
          <w:rFonts w:ascii="Bookman Old Style" w:eastAsia="Times New Roman" w:hAnsi="Bookman Old Style" w:cs="Arial"/>
          <w:sz w:val="28"/>
          <w:szCs w:val="28"/>
          <w:lang w:eastAsia="es-ES"/>
        </w:rPr>
        <w:t xml:space="preserve"> ordenamiento, el Tribunal habría apreciado «</w:t>
      </w:r>
      <w:r w:rsidRPr="009A48B0">
        <w:rPr>
          <w:rFonts w:ascii="Bookman Old Style" w:eastAsia="Times New Roman" w:hAnsi="Bookman Old Style" w:cs="Arial"/>
          <w:i/>
          <w:sz w:val="28"/>
          <w:szCs w:val="28"/>
          <w:lang w:eastAsia="es-ES"/>
        </w:rPr>
        <w:t>en su plenitud la entrevista forense compilada a la menor víctima</w:t>
      </w:r>
      <w:r w:rsidRPr="009A48B0">
        <w:rPr>
          <w:rFonts w:ascii="Bookman Old Style" w:eastAsia="Times New Roman" w:hAnsi="Bookman Old Style" w:cs="Arial"/>
          <w:sz w:val="28"/>
          <w:szCs w:val="28"/>
          <w:lang w:eastAsia="es-ES"/>
        </w:rPr>
        <w:t>» y, por ende, recobraba vigencia la sentencia condenatoria proferida por el a quo.</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 xml:space="preserve">En esa medida, pide a la Corte casar la sentencia de segundo grado y, en su lugar, condenar al incriminado </w:t>
      </w:r>
      <w:r>
        <w:rPr>
          <w:rFonts w:ascii="Bookman Old Style" w:eastAsia="Times New Roman" w:hAnsi="Bookman Old Style" w:cs="Arial"/>
          <w:smallCaps/>
          <w:sz w:val="28"/>
          <w:szCs w:val="28"/>
          <w:lang w:eastAsia="es-ES"/>
        </w:rPr>
        <w:t>JDO</w:t>
      </w:r>
      <w:r w:rsidRPr="009A48B0">
        <w:rPr>
          <w:rFonts w:ascii="Bookman Old Style" w:eastAsia="Times New Roman" w:hAnsi="Bookman Old Style" w:cs="Arial"/>
          <w:sz w:val="28"/>
          <w:szCs w:val="28"/>
          <w:lang w:eastAsia="es-ES"/>
        </w:rPr>
        <w:t xml:space="preserve"> por el delito de actos sexuales con menor de catorce años agravado.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b/>
          <w:sz w:val="28"/>
          <w:szCs w:val="28"/>
          <w:lang w:eastAsia="es-ES"/>
        </w:rPr>
        <w:tab/>
        <w:t>Segundo cargo (subsidiario).</w:t>
      </w:r>
      <w:r w:rsidRPr="009A48B0">
        <w:rPr>
          <w:rFonts w:ascii="Bookman Old Style" w:eastAsia="Times New Roman" w:hAnsi="Bookman Old Style" w:cs="Arial"/>
          <w:sz w:val="28"/>
          <w:szCs w:val="28"/>
          <w:lang w:eastAsia="es-ES"/>
        </w:rPr>
        <w:t xml:space="preserve"> Manifiesta el recurrente que el juez colegiado incurrió en la violación indirecta de la ley sustancial por error de hecho por falso raciocinio, manifestado en la valoración del «</w:t>
      </w:r>
      <w:r w:rsidRPr="009A48B0">
        <w:rPr>
          <w:rFonts w:ascii="Bookman Old Style" w:eastAsia="Times New Roman" w:hAnsi="Bookman Old Style" w:cs="Arial"/>
          <w:i/>
          <w:sz w:val="28"/>
          <w:szCs w:val="28"/>
          <w:lang w:eastAsia="es-ES"/>
        </w:rPr>
        <w:t>testimonio y la entrevista</w:t>
      </w:r>
      <w:r w:rsidRPr="009A48B0">
        <w:rPr>
          <w:rFonts w:ascii="Bookman Old Style" w:eastAsia="Times New Roman" w:hAnsi="Bookman Old Style" w:cs="Arial"/>
          <w:sz w:val="28"/>
          <w:szCs w:val="28"/>
          <w:lang w:eastAsia="es-ES"/>
        </w:rPr>
        <w:t xml:space="preserve">» realizada a la niña K.T.B.S., lo que conllevó a la aplicación indebida de los artículos 7 y 381 de la Ley 906 de 2004.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Después de trascribir el contenido de los referidos elementos de convicción, así como algunos apartes de la sentencia de segundo grado donde se analiza el poder suasorio de las entrevistas forenses realizadas a menores víctimas de delitos sexuales, el libelista afirma que en su estimación el Tribunal «</w:t>
      </w:r>
      <w:r w:rsidRPr="009A48B0">
        <w:rPr>
          <w:rFonts w:ascii="Bookman Old Style" w:eastAsia="Times New Roman" w:hAnsi="Bookman Old Style" w:cs="Arial"/>
          <w:i/>
          <w:sz w:val="28"/>
          <w:szCs w:val="28"/>
          <w:lang w:eastAsia="es-ES"/>
        </w:rPr>
        <w:t>se apartó de las reglas de la experiencia</w:t>
      </w:r>
      <w:r w:rsidRPr="009A48B0">
        <w:rPr>
          <w:rFonts w:ascii="Bookman Old Style" w:eastAsia="Times New Roman" w:hAnsi="Bookman Old Style" w:cs="Arial"/>
          <w:sz w:val="28"/>
          <w:szCs w:val="28"/>
          <w:lang w:eastAsia="es-ES"/>
        </w:rPr>
        <w:t xml:space="preserve">», entre las cuales relaciona las siguientes: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(i) La edad del abusador, quien para la época de los hechos contaba con 53 años de edad, lo cual, dice, «</w:t>
      </w:r>
      <w:r w:rsidRPr="009A48B0">
        <w:rPr>
          <w:rFonts w:ascii="Bookman Old Style" w:eastAsia="Times New Roman" w:hAnsi="Bookman Old Style" w:cs="Arial"/>
          <w:i/>
          <w:sz w:val="28"/>
          <w:szCs w:val="28"/>
          <w:lang w:eastAsia="es-ES"/>
        </w:rPr>
        <w:t xml:space="preserve">es un </w:t>
      </w:r>
      <w:r w:rsidRPr="009A48B0">
        <w:rPr>
          <w:rFonts w:ascii="Bookman Old Style" w:eastAsia="Times New Roman" w:hAnsi="Bookman Old Style" w:cs="Arial"/>
          <w:i/>
          <w:sz w:val="28"/>
          <w:szCs w:val="28"/>
          <w:lang w:eastAsia="es-ES"/>
        </w:rPr>
        <w:lastRenderedPageBreak/>
        <w:t>derrotero valioso para a partir de este (sic), evaluar la conciencia de la antijuridicidad que yace en el autor»</w:t>
      </w:r>
      <w:r w:rsidRPr="009A48B0">
        <w:rPr>
          <w:rFonts w:ascii="Bookman Old Style" w:eastAsia="Times New Roman" w:hAnsi="Bookman Old Style" w:cs="Arial"/>
          <w:sz w:val="28"/>
          <w:szCs w:val="28"/>
          <w:lang w:eastAsia="es-ES"/>
        </w:rPr>
        <w:t xml:space="preserve">.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(ii) El acusado no tenía ninguna relación de parentesco o afinidad con la menor víctima, luego se descarta «</w:t>
      </w:r>
      <w:r w:rsidRPr="009A48B0">
        <w:rPr>
          <w:rFonts w:ascii="Bookman Old Style" w:eastAsia="Times New Roman" w:hAnsi="Bookman Old Style" w:cs="Arial"/>
          <w:i/>
          <w:sz w:val="28"/>
          <w:szCs w:val="28"/>
          <w:lang w:eastAsia="es-ES"/>
        </w:rPr>
        <w:t>la hipótesis de un beso filial</w:t>
      </w:r>
      <w:r w:rsidRPr="009A48B0">
        <w:rPr>
          <w:rFonts w:ascii="Bookman Old Style" w:eastAsia="Times New Roman" w:hAnsi="Bookman Old Style" w:cs="Arial"/>
          <w:sz w:val="28"/>
          <w:szCs w:val="28"/>
          <w:lang w:eastAsia="es-ES"/>
        </w:rPr>
        <w:t>».</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(iii) El «</w:t>
      </w:r>
      <w:r w:rsidRPr="009A48B0">
        <w:rPr>
          <w:rFonts w:ascii="Bookman Old Style" w:eastAsia="Times New Roman" w:hAnsi="Bookman Old Style" w:cs="Arial"/>
          <w:i/>
          <w:sz w:val="28"/>
          <w:szCs w:val="28"/>
          <w:lang w:eastAsia="es-ES"/>
        </w:rPr>
        <w:t>principio de confianza</w:t>
      </w:r>
      <w:r w:rsidRPr="009A48B0">
        <w:rPr>
          <w:rFonts w:ascii="Bookman Old Style" w:eastAsia="Times New Roman" w:hAnsi="Bookman Old Style" w:cs="Arial"/>
          <w:sz w:val="28"/>
          <w:szCs w:val="28"/>
          <w:lang w:eastAsia="es-ES"/>
        </w:rPr>
        <w:t>», el cual surge de que la madre de K.T.B.S. se vio en la necesidad de encomendar su transporte al acusado, quien la defraudó cuando llevó «</w:t>
      </w:r>
      <w:r w:rsidRPr="009A48B0">
        <w:rPr>
          <w:rFonts w:ascii="Bookman Old Style" w:eastAsia="Times New Roman" w:hAnsi="Bookman Old Style" w:cs="Arial"/>
          <w:i/>
          <w:sz w:val="28"/>
          <w:szCs w:val="28"/>
          <w:lang w:eastAsia="es-ES"/>
        </w:rPr>
        <w:t>a la menor a su domicilio, [la invitó] a ingresar al mismo y posteriormente [la besó en los labios]</w:t>
      </w:r>
      <w:r w:rsidRPr="009A48B0">
        <w:rPr>
          <w:rFonts w:ascii="Bookman Old Style" w:eastAsia="Times New Roman" w:hAnsi="Bookman Old Style" w:cs="Arial"/>
          <w:sz w:val="28"/>
          <w:szCs w:val="28"/>
          <w:lang w:eastAsia="es-ES"/>
        </w:rPr>
        <w:t xml:space="preserve">».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(iv) La edad de la víctima, quien para la época de los hechos apenas contaba con 10 años de edad y permanecía sola debido a que su progenitora, cabeza de familia, laboraba durante gran parte del día, «</w:t>
      </w:r>
      <w:r w:rsidRPr="009A48B0">
        <w:rPr>
          <w:rFonts w:ascii="Bookman Old Style" w:eastAsia="Times New Roman" w:hAnsi="Bookman Old Style" w:cs="Arial"/>
          <w:i/>
          <w:sz w:val="28"/>
          <w:szCs w:val="28"/>
          <w:lang w:eastAsia="es-ES"/>
        </w:rPr>
        <w:t>circunstancia de soledad de la menor</w:t>
      </w:r>
      <w:r w:rsidRPr="009A48B0">
        <w:rPr>
          <w:rFonts w:ascii="Bookman Old Style" w:eastAsia="Times New Roman" w:hAnsi="Bookman Old Style" w:cs="Arial"/>
          <w:sz w:val="28"/>
          <w:szCs w:val="28"/>
          <w:lang w:eastAsia="es-ES"/>
        </w:rPr>
        <w:t>» que fue aprovechada por el incriminado.</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(v) El tocamiento de las piernas de K.T.B.S. por parte del procesado, que según la citada niña ocurrió en tres oportunidades previas al suceso juzgado, supuestamente para quitarle el frío cuando la transportaba en la moto, que «</w:t>
      </w:r>
      <w:r w:rsidRPr="009A48B0">
        <w:rPr>
          <w:rFonts w:ascii="Bookman Old Style" w:eastAsia="Times New Roman" w:hAnsi="Bookman Old Style" w:cs="Arial"/>
          <w:i/>
          <w:sz w:val="28"/>
          <w:szCs w:val="28"/>
          <w:lang w:eastAsia="es-ES"/>
        </w:rPr>
        <w:t>por regla de la experiencia debe entenderse que el abusador va desplegando actos libidinosos de manera gradual para finalmente ir conduciendo a su víctima al hecho pretendido</w:t>
      </w:r>
      <w:r w:rsidRPr="009A48B0">
        <w:rPr>
          <w:rFonts w:ascii="Bookman Old Style" w:eastAsia="Times New Roman" w:hAnsi="Bookman Old Style" w:cs="Arial"/>
          <w:sz w:val="28"/>
          <w:szCs w:val="28"/>
          <w:lang w:eastAsia="es-ES"/>
        </w:rPr>
        <w:t>».</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w:t>
      </w:r>
      <w:proofErr w:type="gramStart"/>
      <w:r w:rsidRPr="009A48B0">
        <w:rPr>
          <w:rFonts w:ascii="Bookman Old Style" w:eastAsia="Times New Roman" w:hAnsi="Bookman Old Style" w:cs="Arial"/>
          <w:sz w:val="28"/>
          <w:szCs w:val="28"/>
          <w:lang w:eastAsia="es-ES"/>
        </w:rPr>
        <w:t>vi</w:t>
      </w:r>
      <w:proofErr w:type="gramEnd"/>
      <w:r w:rsidRPr="009A48B0">
        <w:rPr>
          <w:rFonts w:ascii="Bookman Old Style" w:eastAsia="Times New Roman" w:hAnsi="Bookman Old Style" w:cs="Arial"/>
          <w:sz w:val="28"/>
          <w:szCs w:val="28"/>
          <w:lang w:eastAsia="es-ES"/>
        </w:rPr>
        <w:t xml:space="preserve">) K.T.B.S. catalogó al encartado </w:t>
      </w:r>
      <w:r>
        <w:rPr>
          <w:rFonts w:ascii="Bookman Old Style" w:eastAsia="Times New Roman" w:hAnsi="Bookman Old Style" w:cs="Arial"/>
          <w:smallCaps/>
          <w:sz w:val="28"/>
          <w:szCs w:val="28"/>
          <w:lang w:eastAsia="es-ES"/>
        </w:rPr>
        <w:t>JDO</w:t>
      </w:r>
      <w:r w:rsidRPr="009A48B0">
        <w:rPr>
          <w:rFonts w:ascii="Bookman Old Style" w:eastAsia="Times New Roman" w:hAnsi="Bookman Old Style" w:cs="Arial"/>
          <w:sz w:val="28"/>
          <w:szCs w:val="28"/>
          <w:lang w:eastAsia="es-ES"/>
        </w:rPr>
        <w:t xml:space="preserve"> como un «</w:t>
      </w:r>
      <w:r w:rsidRPr="009A48B0">
        <w:rPr>
          <w:rFonts w:ascii="Bookman Old Style" w:eastAsia="Times New Roman" w:hAnsi="Bookman Old Style" w:cs="Arial"/>
          <w:i/>
          <w:sz w:val="28"/>
          <w:szCs w:val="28"/>
          <w:lang w:eastAsia="es-ES"/>
        </w:rPr>
        <w:t>señor malo</w:t>
      </w:r>
      <w:r w:rsidRPr="009A48B0">
        <w:rPr>
          <w:rFonts w:ascii="Bookman Old Style" w:eastAsia="Times New Roman" w:hAnsi="Bookman Old Style" w:cs="Arial"/>
          <w:sz w:val="28"/>
          <w:szCs w:val="28"/>
          <w:lang w:eastAsia="es-ES"/>
        </w:rPr>
        <w:t xml:space="preserve">», y la experiencia indica que cuando un menor </w:t>
      </w:r>
      <w:r w:rsidRPr="009A48B0">
        <w:rPr>
          <w:rFonts w:ascii="Bookman Old Style" w:eastAsia="Times New Roman" w:hAnsi="Bookman Old Style" w:cs="Arial"/>
          <w:sz w:val="28"/>
          <w:szCs w:val="28"/>
          <w:lang w:eastAsia="es-ES"/>
        </w:rPr>
        <w:lastRenderedPageBreak/>
        <w:t>agredido sexualmente realiza tal calificación «</w:t>
      </w:r>
      <w:r w:rsidRPr="009A48B0">
        <w:rPr>
          <w:rFonts w:ascii="Bookman Old Style" w:eastAsia="Times New Roman" w:hAnsi="Bookman Old Style" w:cs="Arial"/>
          <w:i/>
          <w:sz w:val="28"/>
          <w:szCs w:val="28"/>
          <w:lang w:eastAsia="es-ES"/>
        </w:rPr>
        <w:t>es porque para el caso que nos ocupa, en su fuero interno la menor… se sintió agredida en aquel día en que este acusado… le da un beso no consentido en la boca</w:t>
      </w:r>
      <w:r w:rsidRPr="009A48B0">
        <w:rPr>
          <w:rFonts w:ascii="Bookman Old Style" w:eastAsia="Times New Roman" w:hAnsi="Bookman Old Style" w:cs="Arial"/>
          <w:sz w:val="28"/>
          <w:szCs w:val="28"/>
          <w:lang w:eastAsia="es-ES"/>
        </w:rPr>
        <w:t xml:space="preserve">».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(vii) El procesado invitó a la menor a comer pizza sin habérselo comunicado previamente a la progenitora, conducta propia del abusador sexual que busca «</w:t>
      </w:r>
      <w:r w:rsidRPr="009A48B0">
        <w:rPr>
          <w:rFonts w:ascii="Bookman Old Style" w:eastAsia="Times New Roman" w:hAnsi="Bookman Old Style" w:cs="Arial"/>
          <w:i/>
          <w:sz w:val="28"/>
          <w:szCs w:val="28"/>
          <w:lang w:eastAsia="es-ES"/>
        </w:rPr>
        <w:t>ingresar en el escenario de la confianza de su víctima»</w:t>
      </w:r>
      <w:r w:rsidRPr="009A48B0">
        <w:rPr>
          <w:rFonts w:ascii="Bookman Old Style" w:eastAsia="Times New Roman" w:hAnsi="Bookman Old Style" w:cs="Arial"/>
          <w:sz w:val="28"/>
          <w:szCs w:val="28"/>
          <w:lang w:eastAsia="es-ES"/>
        </w:rPr>
        <w:t>.</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(viii) El acusado, luego de besar en los labios a K.T.B.S., le pidió que no contara lo sucedido y que le dijera a la mamá que la demora se debía a que «</w:t>
      </w:r>
      <w:r w:rsidRPr="009A48B0">
        <w:rPr>
          <w:rFonts w:ascii="Bookman Old Style" w:eastAsia="Times New Roman" w:hAnsi="Bookman Old Style" w:cs="Arial"/>
          <w:i/>
          <w:sz w:val="28"/>
          <w:szCs w:val="28"/>
          <w:lang w:eastAsia="es-ES"/>
        </w:rPr>
        <w:t>se habían varado</w:t>
      </w:r>
      <w:r w:rsidRPr="009A48B0">
        <w:rPr>
          <w:rFonts w:ascii="Bookman Old Style" w:eastAsia="Times New Roman" w:hAnsi="Bookman Old Style" w:cs="Arial"/>
          <w:sz w:val="28"/>
          <w:szCs w:val="28"/>
          <w:lang w:eastAsia="es-ES"/>
        </w:rPr>
        <w:t>», comportamiento «</w:t>
      </w:r>
      <w:r w:rsidRPr="009A48B0">
        <w:rPr>
          <w:rFonts w:ascii="Bookman Old Style" w:eastAsia="Times New Roman" w:hAnsi="Bookman Old Style" w:cs="Arial"/>
          <w:i/>
          <w:sz w:val="28"/>
          <w:szCs w:val="28"/>
          <w:lang w:eastAsia="es-ES"/>
        </w:rPr>
        <w:t>sigiloso</w:t>
      </w:r>
      <w:r w:rsidRPr="009A48B0">
        <w:rPr>
          <w:rFonts w:ascii="Bookman Old Style" w:eastAsia="Times New Roman" w:hAnsi="Bookman Old Style" w:cs="Arial"/>
          <w:sz w:val="28"/>
          <w:szCs w:val="28"/>
          <w:lang w:eastAsia="es-ES"/>
        </w:rPr>
        <w:t>» que según la experiencia es el que asume el abusador sexual, quien realiza sus acciones «</w:t>
      </w:r>
      <w:r w:rsidRPr="009A48B0">
        <w:rPr>
          <w:rFonts w:ascii="Bookman Old Style" w:eastAsia="Times New Roman" w:hAnsi="Bookman Old Style" w:cs="Arial"/>
          <w:i/>
          <w:sz w:val="28"/>
          <w:szCs w:val="28"/>
          <w:lang w:eastAsia="es-ES"/>
        </w:rPr>
        <w:t>en lugares solitarios…y siempre le ruega a la víctima no realizar algún comentario de lo acaecido a terceras personas</w:t>
      </w:r>
      <w:r w:rsidRPr="009A48B0">
        <w:rPr>
          <w:rFonts w:ascii="Bookman Old Style" w:eastAsia="Times New Roman" w:hAnsi="Bookman Old Style" w:cs="Arial"/>
          <w:sz w:val="28"/>
          <w:szCs w:val="28"/>
          <w:lang w:eastAsia="es-ES"/>
        </w:rPr>
        <w:t>».</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(ix) En sus intervenciones en el juicio oral y en la impugnación de la sentencia de primer grado, «</w:t>
      </w:r>
      <w:r w:rsidRPr="009A48B0">
        <w:rPr>
          <w:rFonts w:ascii="Bookman Old Style" w:eastAsia="Times New Roman" w:hAnsi="Bookman Old Style" w:cs="Arial"/>
          <w:i/>
          <w:sz w:val="28"/>
          <w:szCs w:val="28"/>
          <w:lang w:eastAsia="es-ES"/>
        </w:rPr>
        <w:t>el abogado defensor reconoce que sí existió el hecho investigado y que el acusado aceptaba que…con su obrar [incurrió en] una injuria por vías de hecho</w:t>
      </w:r>
      <w:r w:rsidRPr="009A48B0">
        <w:rPr>
          <w:rFonts w:ascii="Bookman Old Style" w:eastAsia="Times New Roman" w:hAnsi="Bookman Old Style" w:cs="Arial"/>
          <w:sz w:val="28"/>
          <w:szCs w:val="28"/>
          <w:lang w:eastAsia="es-ES"/>
        </w:rPr>
        <w:t>», lo cual, como lo enseña la experiencia, indica que quien admite haber cometido una conducta con connotación penal, lo hace «</w:t>
      </w:r>
      <w:r w:rsidRPr="009A48B0">
        <w:rPr>
          <w:rFonts w:ascii="Bookman Old Style" w:eastAsia="Times New Roman" w:hAnsi="Bookman Old Style" w:cs="Arial"/>
          <w:i/>
          <w:sz w:val="28"/>
          <w:szCs w:val="28"/>
          <w:lang w:eastAsia="es-ES"/>
        </w:rPr>
        <w:t>para morigerar los efectos punitivos que conlleva una ilicitud de esta naturaleza</w:t>
      </w:r>
      <w:r w:rsidRPr="009A48B0">
        <w:rPr>
          <w:rFonts w:ascii="Bookman Old Style" w:eastAsia="Times New Roman" w:hAnsi="Bookman Old Style" w:cs="Arial"/>
          <w:sz w:val="28"/>
          <w:szCs w:val="28"/>
          <w:lang w:eastAsia="es-ES"/>
        </w:rPr>
        <w:t xml:space="preserve">».      </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 xml:space="preserve">Dicho lo anterior, el actor concluye exponiendo que el yerro alegado se manifiesta en que el fallador de segundo </w:t>
      </w:r>
      <w:r w:rsidRPr="009A48B0">
        <w:rPr>
          <w:rFonts w:ascii="Bookman Old Style" w:eastAsia="Times New Roman" w:hAnsi="Bookman Old Style" w:cs="Arial"/>
          <w:sz w:val="28"/>
          <w:szCs w:val="28"/>
          <w:lang w:eastAsia="es-ES"/>
        </w:rPr>
        <w:lastRenderedPageBreak/>
        <w:t>grado «</w:t>
      </w:r>
      <w:r w:rsidRPr="009A48B0">
        <w:rPr>
          <w:rFonts w:ascii="Bookman Old Style" w:eastAsia="Times New Roman" w:hAnsi="Bookman Old Style" w:cs="Arial"/>
          <w:i/>
          <w:sz w:val="28"/>
          <w:szCs w:val="28"/>
          <w:lang w:eastAsia="es-ES"/>
        </w:rPr>
        <w:t>se distanció del valor probatorio que el juez a quo le asignó a la entrevista forense</w:t>
      </w:r>
      <w:r w:rsidRPr="009A48B0">
        <w:rPr>
          <w:rFonts w:ascii="Bookman Old Style" w:eastAsia="Times New Roman" w:hAnsi="Bookman Old Style" w:cs="Arial"/>
          <w:sz w:val="28"/>
          <w:szCs w:val="28"/>
          <w:lang w:eastAsia="es-ES"/>
        </w:rPr>
        <w:t>», desligando dicho elemento probatorio del testimonio rendido por la niña K.T.B.S. en el juicio oral, lo que afirma, conllevó a «</w:t>
      </w:r>
      <w:r w:rsidRPr="009A48B0">
        <w:rPr>
          <w:rFonts w:ascii="Bookman Old Style" w:eastAsia="Times New Roman" w:hAnsi="Bookman Old Style" w:cs="Arial"/>
          <w:i/>
          <w:sz w:val="28"/>
          <w:szCs w:val="28"/>
          <w:lang w:eastAsia="es-ES"/>
        </w:rPr>
        <w:t>desdibujar [su] contenido integral</w:t>
      </w:r>
      <w:r w:rsidRPr="009A48B0">
        <w:rPr>
          <w:rFonts w:ascii="Bookman Old Style" w:eastAsia="Times New Roman" w:hAnsi="Bookman Old Style" w:cs="Arial"/>
          <w:sz w:val="28"/>
          <w:szCs w:val="28"/>
          <w:lang w:eastAsia="es-ES"/>
        </w:rPr>
        <w:t>» y, por contera, a la absolución del acusado.</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En ese orden, solicita a la Corte casar la sentencia confutada y, en su lugar, dejar vigente la condena proferida por el juez de primera instancia.</w:t>
      </w:r>
    </w:p>
    <w:p w:rsidR="009A48B0" w:rsidRPr="009A48B0" w:rsidRDefault="009A48B0" w:rsidP="009A48B0">
      <w:pPr>
        <w:tabs>
          <w:tab w:val="left" w:pos="8640"/>
        </w:tabs>
        <w:spacing w:after="120" w:line="480" w:lineRule="auto"/>
        <w:ind w:right="23"/>
        <w:rPr>
          <w:rFonts w:ascii="Bookman Old Style" w:eastAsia="Times New Roman" w:hAnsi="Bookman Old Style" w:cs="Arial"/>
          <w:b/>
          <w:sz w:val="28"/>
          <w:szCs w:val="28"/>
          <w:lang w:eastAsia="es-ES"/>
        </w:rPr>
      </w:pPr>
    </w:p>
    <w:p w:rsidR="009A48B0" w:rsidRPr="009A48B0" w:rsidRDefault="009A48B0" w:rsidP="009A48B0">
      <w:pPr>
        <w:tabs>
          <w:tab w:val="left" w:pos="8640"/>
        </w:tabs>
        <w:spacing w:after="120" w:line="360" w:lineRule="auto"/>
        <w:ind w:right="20"/>
        <w:jc w:val="center"/>
        <w:rPr>
          <w:rFonts w:ascii="Bookman Old Style" w:eastAsia="Times New Roman" w:hAnsi="Bookman Old Style" w:cs="Arial"/>
          <w:b/>
          <w:sz w:val="28"/>
          <w:szCs w:val="28"/>
          <w:lang w:eastAsia="es-ES"/>
        </w:rPr>
      </w:pPr>
      <w:r w:rsidRPr="009A48B0">
        <w:rPr>
          <w:rFonts w:ascii="Bookman Old Style" w:eastAsia="Times New Roman" w:hAnsi="Bookman Old Style" w:cs="Arial"/>
          <w:b/>
          <w:sz w:val="28"/>
          <w:szCs w:val="28"/>
          <w:lang w:eastAsia="es-ES"/>
        </w:rPr>
        <w:t>CONSIDERACIONES DE LA CORTE</w:t>
      </w:r>
    </w:p>
    <w:p w:rsidR="009A48B0" w:rsidRPr="009A48B0" w:rsidRDefault="009A48B0" w:rsidP="009A48B0">
      <w:pPr>
        <w:spacing w:line="360" w:lineRule="auto"/>
        <w:jc w:val="both"/>
        <w:rPr>
          <w:rFonts w:ascii="Bookman Old Style" w:eastAsia="Times New Roman" w:hAnsi="Bookman Old Style" w:cs="Times New Roman"/>
          <w:sz w:val="28"/>
          <w:szCs w:val="28"/>
          <w:lang w:eastAsia="es-ES"/>
        </w:rPr>
      </w:pPr>
    </w:p>
    <w:p w:rsidR="009A48B0" w:rsidRPr="009A48B0" w:rsidRDefault="009A48B0" w:rsidP="009A48B0">
      <w:pPr>
        <w:tabs>
          <w:tab w:val="left" w:pos="900"/>
        </w:tabs>
        <w:spacing w:line="360" w:lineRule="auto"/>
        <w:ind w:right="51"/>
        <w:jc w:val="both"/>
        <w:rPr>
          <w:rFonts w:ascii="Bookman Old Style" w:eastAsia="Times New Roman" w:hAnsi="Bookman Old Style" w:cs="Arial"/>
          <w:sz w:val="28"/>
          <w:szCs w:val="28"/>
          <w:lang w:eastAsia="es-ES"/>
        </w:rPr>
      </w:pPr>
      <w:r w:rsidRPr="009A48B0">
        <w:rPr>
          <w:rFonts w:ascii="Bookman Old Style" w:eastAsia="Times New Roman" w:hAnsi="Bookman Old Style" w:cs="Arial"/>
          <w:b/>
          <w:sz w:val="28"/>
          <w:szCs w:val="28"/>
          <w:lang w:eastAsia="es-ES"/>
        </w:rPr>
        <w:tab/>
        <w:t>1.</w:t>
      </w:r>
      <w:r w:rsidRPr="009A48B0">
        <w:rPr>
          <w:rFonts w:ascii="Bookman Old Style" w:eastAsia="Times New Roman" w:hAnsi="Bookman Old Style" w:cs="Arial"/>
          <w:sz w:val="28"/>
          <w:szCs w:val="28"/>
          <w:lang w:eastAsia="es-ES"/>
        </w:rPr>
        <w:t xml:space="preserve"> Conforme a la normativa recogida en el Código de Procedimiento Penal de 2004, la casación se establece con una doble connotación, tanto de control constitucional, como legal de las sentencias proferidas en segunda instancia, en orden a consolidar la efectividad del derecho material, el respeto de las garantías de los intervinientes, la reparación de los agravios inferidos a éstos y la unificación de la jurisprudencia.    </w:t>
      </w:r>
    </w:p>
    <w:p w:rsidR="009A48B0" w:rsidRPr="009A48B0" w:rsidRDefault="009A48B0" w:rsidP="009A48B0">
      <w:pPr>
        <w:tabs>
          <w:tab w:val="left" w:pos="900"/>
        </w:tabs>
        <w:spacing w:line="360" w:lineRule="auto"/>
        <w:ind w:right="51"/>
        <w:jc w:val="both"/>
        <w:rPr>
          <w:rFonts w:ascii="Bookman Old Style" w:eastAsia="Times New Roman" w:hAnsi="Bookman Old Style" w:cs="Arial"/>
          <w:sz w:val="28"/>
          <w:szCs w:val="28"/>
          <w:lang w:eastAsia="es-ES"/>
        </w:rPr>
      </w:pPr>
    </w:p>
    <w:p w:rsidR="009A48B0" w:rsidRPr="009A48B0" w:rsidRDefault="009A48B0" w:rsidP="009A48B0">
      <w:pPr>
        <w:tabs>
          <w:tab w:val="left" w:pos="900"/>
        </w:tabs>
        <w:spacing w:line="360" w:lineRule="auto"/>
        <w:ind w:right="51"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 xml:space="preserve">Ahora bien, sin perjuicio de la facultad que la ley otorgó a la Sala de Casación Penal de la Corte de superar los defectos de la demanda para decidir de fondo en aquellos eventos en que los fines de la casación, su fundamentación, posición del impugnante dentro del proceso </w:t>
      </w:r>
      <w:proofErr w:type="spellStart"/>
      <w:r w:rsidRPr="009A48B0">
        <w:rPr>
          <w:rFonts w:ascii="Bookman Old Style" w:eastAsia="Times New Roman" w:hAnsi="Bookman Old Style" w:cs="Arial"/>
          <w:sz w:val="28"/>
          <w:szCs w:val="28"/>
          <w:lang w:eastAsia="es-ES"/>
        </w:rPr>
        <w:t>e</w:t>
      </w:r>
      <w:proofErr w:type="spellEnd"/>
      <w:r w:rsidRPr="009A48B0">
        <w:rPr>
          <w:rFonts w:ascii="Bookman Old Style" w:eastAsia="Times New Roman" w:hAnsi="Bookman Old Style" w:cs="Arial"/>
          <w:sz w:val="28"/>
          <w:szCs w:val="28"/>
          <w:lang w:eastAsia="es-ES"/>
        </w:rPr>
        <w:t xml:space="preserve"> índole de la controversia planteada, así lo </w:t>
      </w:r>
      <w:r w:rsidRPr="009A48B0">
        <w:rPr>
          <w:rFonts w:ascii="Bookman Old Style" w:eastAsia="Times New Roman" w:hAnsi="Bookman Old Style" w:cs="Arial"/>
          <w:sz w:val="28"/>
          <w:szCs w:val="28"/>
          <w:lang w:eastAsia="es-ES"/>
        </w:rPr>
        <w:lastRenderedPageBreak/>
        <w:t xml:space="preserve">ameriten, el recurso extraordinario no es un mecanismo carente de rigor.     </w:t>
      </w:r>
    </w:p>
    <w:p w:rsidR="009A48B0" w:rsidRPr="009A48B0" w:rsidRDefault="009A48B0" w:rsidP="009A48B0">
      <w:pPr>
        <w:tabs>
          <w:tab w:val="left" w:pos="900"/>
        </w:tabs>
        <w:spacing w:line="360" w:lineRule="auto"/>
        <w:ind w:right="51" w:firstLine="709"/>
        <w:jc w:val="both"/>
        <w:rPr>
          <w:rFonts w:ascii="Bookman Old Style" w:eastAsia="Times New Roman" w:hAnsi="Bookman Old Style" w:cs="Arial"/>
          <w:sz w:val="28"/>
          <w:szCs w:val="28"/>
          <w:lang w:eastAsia="es-ES"/>
        </w:rPr>
      </w:pPr>
    </w:p>
    <w:p w:rsidR="009A48B0" w:rsidRPr="009A48B0" w:rsidRDefault="009A48B0" w:rsidP="009A48B0">
      <w:pPr>
        <w:tabs>
          <w:tab w:val="left" w:pos="900"/>
        </w:tabs>
        <w:spacing w:line="360" w:lineRule="auto"/>
        <w:ind w:right="51"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 xml:space="preserve">En efecto, la casación penal no puede entenderse como una instancia adicional para debatir aspectos que fueron materia de controversia, o como facultad ilimitada para revisar el proceso; ni la demanda puede elaborarse utilizando un discurso de libre composición, por el contrario, dado el carácter extraordinario y rogado del recurso, en el cual se examina la legalidad de la sentencia, está ligado a causales taxativas que tienen contenidos propios, referidas a vicios sustanciales o procesales. Además, en el desarrollo de cada uno de los reparos formulados, se deben cumplir unos requisitos mínimos de lógica y adecuada fundamentación, cuyo desconocimiento conlleva a su inadmisión, como lo establece el inciso 2º del artículo 184 del Código de Procedimiento Penal de 2004. </w:t>
      </w:r>
    </w:p>
    <w:p w:rsidR="009A48B0" w:rsidRPr="009A48B0" w:rsidRDefault="009A48B0" w:rsidP="009A48B0">
      <w:pPr>
        <w:widowControl w:val="0"/>
        <w:autoSpaceDE w:val="0"/>
        <w:autoSpaceDN w:val="0"/>
        <w:adjustRightInd w:val="0"/>
        <w:spacing w:line="360" w:lineRule="auto"/>
        <w:jc w:val="both"/>
        <w:rPr>
          <w:rFonts w:ascii="Bookman Old Style" w:eastAsia="Times New Roman" w:hAnsi="Bookman Old Style" w:cs="Arial"/>
          <w:sz w:val="28"/>
          <w:szCs w:val="28"/>
          <w:lang w:eastAsia="es-ES"/>
        </w:rPr>
      </w:pPr>
    </w:p>
    <w:p w:rsidR="009A48B0" w:rsidRPr="009A48B0" w:rsidRDefault="009A48B0" w:rsidP="009A48B0">
      <w:pPr>
        <w:widowControl w:val="0"/>
        <w:autoSpaceDE w:val="0"/>
        <w:autoSpaceDN w:val="0"/>
        <w:adjustRightInd w:val="0"/>
        <w:spacing w:line="360" w:lineRule="auto"/>
        <w:ind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Es así que según el citado precepto, mediante decisión motivada la Corte está facultada para no seleccionar aquellas demandas que se encuentren en cualquiera de los siguientes supuestos: «</w:t>
      </w:r>
      <w:r w:rsidRPr="009A48B0">
        <w:rPr>
          <w:rFonts w:ascii="Bookman Old Style" w:eastAsia="Times New Roman" w:hAnsi="Bookman Old Style" w:cs="Arial"/>
          <w:i/>
          <w:sz w:val="28"/>
          <w:szCs w:val="28"/>
          <w:lang w:eastAsia="es-ES"/>
        </w:rPr>
        <w:t>Si el demandante carece de interés, prescinde de señalar la causal, no desarrolla los cargos de sustentación o cuando de su contexto se advierta fundadamente que no se precisa del fallo para cumplir algunas de las finalidades del recurso.</w:t>
      </w:r>
      <w:r w:rsidRPr="009A48B0">
        <w:rPr>
          <w:rFonts w:ascii="Bookman Old Style" w:eastAsia="Times New Roman" w:hAnsi="Bookman Old Style" w:cs="Arial"/>
          <w:sz w:val="28"/>
          <w:szCs w:val="28"/>
          <w:lang w:eastAsia="es-ES"/>
        </w:rPr>
        <w:t xml:space="preserve">»   </w:t>
      </w:r>
    </w:p>
    <w:p w:rsidR="009A48B0" w:rsidRPr="009A48B0" w:rsidRDefault="009A48B0" w:rsidP="009A48B0">
      <w:pPr>
        <w:widowControl w:val="0"/>
        <w:autoSpaceDE w:val="0"/>
        <w:autoSpaceDN w:val="0"/>
        <w:adjustRightInd w:val="0"/>
        <w:spacing w:line="360" w:lineRule="auto"/>
        <w:ind w:firstLine="851"/>
        <w:jc w:val="both"/>
        <w:rPr>
          <w:rFonts w:ascii="Bookman Old Style" w:eastAsia="Times New Roman" w:hAnsi="Bookman Old Style" w:cs="Arial"/>
          <w:sz w:val="28"/>
          <w:szCs w:val="28"/>
          <w:lang w:eastAsia="es-ES"/>
        </w:rPr>
      </w:pPr>
    </w:p>
    <w:p w:rsidR="009A48B0" w:rsidRPr="009A48B0" w:rsidRDefault="009A48B0" w:rsidP="009A48B0">
      <w:pPr>
        <w:widowControl w:val="0"/>
        <w:autoSpaceDE w:val="0"/>
        <w:autoSpaceDN w:val="0"/>
        <w:adjustRightInd w:val="0"/>
        <w:spacing w:line="360" w:lineRule="auto"/>
        <w:ind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 xml:space="preserve">Significa lo anterior, que dada la preponderancia de los fines del recurso extraordinario en la sistemática de la Ley 906 de 2004, aun cuando la demanda de casación no </w:t>
      </w:r>
      <w:r w:rsidRPr="009A48B0">
        <w:rPr>
          <w:rFonts w:ascii="Bookman Old Style" w:eastAsia="Times New Roman" w:hAnsi="Bookman Old Style" w:cs="Arial"/>
          <w:sz w:val="28"/>
          <w:szCs w:val="28"/>
          <w:lang w:eastAsia="es-ES"/>
        </w:rPr>
        <w:lastRenderedPageBreak/>
        <w:t xml:space="preserve">reúna las exigencias formales y sustanciales, la Corte puede superar sus defectos y decidir de fondo el asunto si lo advierte necesario en orden a garantizarlos; y de igual forma, no obstante cumplir el libelo con tales los requisitos, procede su inadmisión si de acuerdo con dichos fines no se precisa de un fallo de mérito.  </w:t>
      </w:r>
    </w:p>
    <w:p w:rsidR="009A48B0" w:rsidRPr="009A48B0" w:rsidRDefault="009A48B0" w:rsidP="009A48B0">
      <w:pPr>
        <w:spacing w:line="360" w:lineRule="auto"/>
        <w:rPr>
          <w:rFonts w:ascii="Bookman Old Style" w:eastAsia="Times New Roman" w:hAnsi="Bookman Old Style" w:cs="Arial"/>
          <w:sz w:val="28"/>
          <w:szCs w:val="28"/>
          <w:lang w:eastAsia="es-ES"/>
        </w:rPr>
      </w:pPr>
    </w:p>
    <w:p w:rsidR="009A48B0" w:rsidRPr="009A48B0" w:rsidRDefault="009A48B0" w:rsidP="009A48B0">
      <w:pPr>
        <w:tabs>
          <w:tab w:val="left" w:pos="8640"/>
        </w:tabs>
        <w:spacing w:after="120" w:line="360" w:lineRule="auto"/>
        <w:ind w:right="23"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b/>
          <w:sz w:val="28"/>
          <w:szCs w:val="28"/>
          <w:lang w:eastAsia="es-ES"/>
        </w:rPr>
        <w:t>2.</w:t>
      </w:r>
      <w:r w:rsidRPr="009A48B0">
        <w:rPr>
          <w:rFonts w:ascii="Bookman Old Style" w:eastAsia="Times New Roman" w:hAnsi="Bookman Old Style" w:cs="Arial"/>
          <w:sz w:val="28"/>
          <w:szCs w:val="28"/>
          <w:lang w:eastAsia="es-ES"/>
        </w:rPr>
        <w:t xml:space="preserve"> De entrada advierte la Sala que la demanda no cumple las exigencias mínimas de lógica y adecuada fundamentación, puesto que el impugnante no acierta en la postulación ni en el desarrollo de los cargos formulados, desconociendo los derroteros que de manera reiterada tiene señalados la jurisprudencia de esta Corporación, ni mucho menos los demuestra; falencias que conducen a su inadmisión, según pasa a explicarse.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b/>
          <w:sz w:val="28"/>
          <w:szCs w:val="28"/>
        </w:rPr>
      </w:pPr>
      <w:r w:rsidRPr="009A48B0">
        <w:rPr>
          <w:rFonts w:ascii="Bookman Old Style" w:eastAsia="Times New Roman" w:hAnsi="Bookman Old Style" w:cs="Times New Roman"/>
          <w:b/>
          <w:sz w:val="28"/>
          <w:szCs w:val="28"/>
        </w:rPr>
        <w:tab/>
        <w:t>2.1 Primer cargo por violación directa de la ley sustancial por falta de aplicación.</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r>
      <w:r w:rsidRPr="009A48B0">
        <w:rPr>
          <w:rFonts w:ascii="Bookman Old Style" w:eastAsia="Times New Roman" w:hAnsi="Bookman Old Style" w:cs="Times New Roman"/>
          <w:sz w:val="28"/>
          <w:szCs w:val="28"/>
          <w:highlight w:val="yellow"/>
        </w:rPr>
        <w:t xml:space="preserve">Oportuno es reiterar lo que la Sala ha sostenido cuando se acude a la senda de la violación directa de la ley sustancial, en el sentido de que el </w:t>
      </w:r>
      <w:proofErr w:type="spellStart"/>
      <w:r w:rsidRPr="009A48B0">
        <w:rPr>
          <w:rFonts w:ascii="Bookman Old Style" w:eastAsia="Times New Roman" w:hAnsi="Bookman Old Style" w:cs="Times New Roman"/>
          <w:sz w:val="28"/>
          <w:szCs w:val="28"/>
          <w:highlight w:val="yellow"/>
        </w:rPr>
        <w:t>casacionista</w:t>
      </w:r>
      <w:proofErr w:type="spellEnd"/>
      <w:r w:rsidRPr="009A48B0">
        <w:rPr>
          <w:rFonts w:ascii="Bookman Old Style" w:eastAsia="Times New Roman" w:hAnsi="Bookman Old Style" w:cs="Times New Roman"/>
          <w:sz w:val="28"/>
          <w:szCs w:val="28"/>
          <w:highlight w:val="yellow"/>
        </w:rPr>
        <w:t xml:space="preserve"> debe aceptar los hechos declarados en el fallo recurrido y abstenerse de cuestionar la valoración probatoria realizada por los sentenciadores de instancia, por lo cual el debate se circunscribe a la aplicación del derecho, sin que tengan cabida aspectos relacionados con la credibilidad de los elementos de juicio o el acontecer</w:t>
      </w:r>
      <w:r w:rsidRPr="009A48B0">
        <w:rPr>
          <w:rFonts w:ascii="Bookman Old Style" w:eastAsia="Times New Roman" w:hAnsi="Bookman Old Style" w:cs="Times New Roman"/>
          <w:sz w:val="28"/>
          <w:szCs w:val="28"/>
        </w:rPr>
        <w:t xml:space="preserve"> fáctico (CSJ AP, 9 </w:t>
      </w:r>
      <w:proofErr w:type="spellStart"/>
      <w:r w:rsidRPr="009A48B0">
        <w:rPr>
          <w:rFonts w:ascii="Bookman Old Style" w:eastAsia="Times New Roman" w:hAnsi="Bookman Old Style" w:cs="Times New Roman"/>
          <w:sz w:val="28"/>
          <w:szCs w:val="28"/>
        </w:rPr>
        <w:t>May</w:t>
      </w:r>
      <w:proofErr w:type="spellEnd"/>
      <w:r w:rsidRPr="009A48B0">
        <w:rPr>
          <w:rFonts w:ascii="Bookman Old Style" w:eastAsia="Times New Roman" w:hAnsi="Bookman Old Style" w:cs="Times New Roman"/>
          <w:sz w:val="28"/>
          <w:szCs w:val="28"/>
        </w:rPr>
        <w:t>. 2012, Rad. 37987; CSJ AP, 10 Jul. 2013, Rad. 41411; y, CSJ AP, 11 Dic. 2013, Rad 42737; entre otras).</w:t>
      </w: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lastRenderedPageBreak/>
        <w:tab/>
        <w:t>En esa medida, la labor de demostración del vicio deberá estar orientada a evidenciar que el juzgador seleccionó una norma que no era la llamada a gobernar el asunto (aplicación indebida), omitió otra que sí resolvía los extremos de la relación jurídico procesal (falta de aplicación o exclusión evidente) o, habiéndola escogido correctamente, le dio un alcance interpretativo que no se deriva del texto de la ley, es decir, le atribuyó un sentido jurídico que no tiene o le asignó efectos contrarios a su real contenido (interpretación errónea).</w:t>
      </w:r>
    </w:p>
    <w:p w:rsidR="009A48B0" w:rsidRPr="009A48B0" w:rsidRDefault="009A48B0" w:rsidP="009A48B0">
      <w:pPr>
        <w:spacing w:line="48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 xml:space="preserve">Sobre la manera de demostrar la falta de aplicación, en decisión CSJ AP, 29 </w:t>
      </w:r>
      <w:proofErr w:type="spellStart"/>
      <w:r w:rsidRPr="009A48B0">
        <w:rPr>
          <w:rFonts w:ascii="Bookman Old Style" w:eastAsia="Times New Roman" w:hAnsi="Bookman Old Style" w:cs="Times New Roman"/>
          <w:sz w:val="28"/>
          <w:szCs w:val="28"/>
        </w:rPr>
        <w:t>May</w:t>
      </w:r>
      <w:proofErr w:type="spellEnd"/>
      <w:r w:rsidRPr="009A48B0">
        <w:rPr>
          <w:rFonts w:ascii="Bookman Old Style" w:eastAsia="Times New Roman" w:hAnsi="Bookman Old Style" w:cs="Times New Roman"/>
          <w:sz w:val="28"/>
          <w:szCs w:val="28"/>
        </w:rPr>
        <w:t>. 2013, Rad. 39542, dijo la Corte:</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ind w:left="709"/>
        <w:jc w:val="both"/>
        <w:rPr>
          <w:rFonts w:ascii="Bookman Old Style" w:eastAsia="Times New Roman" w:hAnsi="Bookman Old Style" w:cs="Times New Roman"/>
          <w:i/>
          <w:sz w:val="24"/>
          <w:szCs w:val="24"/>
        </w:rPr>
      </w:pPr>
      <w:r w:rsidRPr="009A48B0">
        <w:rPr>
          <w:rFonts w:ascii="Bookman Old Style" w:eastAsia="Times New Roman" w:hAnsi="Bookman Old Style" w:cs="Times New Roman"/>
          <w:i/>
          <w:sz w:val="24"/>
          <w:szCs w:val="24"/>
        </w:rPr>
        <w:t xml:space="preserve">Si el error ocurrió por falta de aplicación, ha de demostrar cuál fue la situación de hecho reconocida por el juzgador y cómo a la misma no le aplicó la consecuencia en el derecho, esto es, cómo dejó de imponer la disposición que regula el caso concreto, ya sea porque la olvidó, la desconoció, estuvo convencido de su derogatoria o </w:t>
      </w:r>
      <w:proofErr w:type="spellStart"/>
      <w:r w:rsidRPr="009A48B0">
        <w:rPr>
          <w:rFonts w:ascii="Bookman Old Style" w:eastAsia="Times New Roman" w:hAnsi="Bookman Old Style" w:cs="Times New Roman"/>
          <w:i/>
          <w:sz w:val="24"/>
          <w:szCs w:val="24"/>
        </w:rPr>
        <w:t>inexequibilidad</w:t>
      </w:r>
      <w:proofErr w:type="spellEnd"/>
      <w:r w:rsidRPr="009A48B0">
        <w:rPr>
          <w:rFonts w:ascii="Bookman Old Style" w:eastAsia="Times New Roman" w:hAnsi="Bookman Old Style" w:cs="Times New Roman"/>
          <w:i/>
          <w:sz w:val="24"/>
          <w:szCs w:val="24"/>
        </w:rPr>
        <w:t xml:space="preserve">, o no la consideró de recibo. Quien alega esa modalidad de error debe explicar el contenido normativo de la disposición que echa de menos y cómo ese mismo debió haber regulado la situación concreta. </w:t>
      </w:r>
    </w:p>
    <w:p w:rsidR="009A48B0" w:rsidRPr="009A48B0" w:rsidRDefault="009A48B0" w:rsidP="009A48B0">
      <w:pPr>
        <w:spacing w:line="360" w:lineRule="auto"/>
        <w:ind w:left="709"/>
        <w:jc w:val="both"/>
        <w:rPr>
          <w:rFonts w:ascii="Bookman Old Style" w:eastAsia="Times New Roman" w:hAnsi="Bookman Old Style" w:cs="Times New Roman"/>
          <w:i/>
          <w:sz w:val="24"/>
          <w:szCs w:val="24"/>
        </w:rPr>
      </w:pPr>
    </w:p>
    <w:p w:rsidR="009A48B0" w:rsidRPr="009A48B0" w:rsidRDefault="009A48B0" w:rsidP="009A48B0">
      <w:pPr>
        <w:spacing w:line="360" w:lineRule="auto"/>
        <w:ind w:left="709"/>
        <w:jc w:val="both"/>
        <w:rPr>
          <w:rFonts w:ascii="Bookman Old Style" w:eastAsia="Times New Roman" w:hAnsi="Bookman Old Style" w:cs="Times New Roman"/>
          <w:sz w:val="24"/>
          <w:szCs w:val="24"/>
        </w:rPr>
      </w:pPr>
      <w:r w:rsidRPr="009A48B0">
        <w:rPr>
          <w:rFonts w:ascii="Bookman Old Style" w:eastAsia="Times New Roman" w:hAnsi="Bookman Old Style" w:cs="Times New Roman"/>
          <w:i/>
          <w:sz w:val="24"/>
          <w:szCs w:val="24"/>
        </w:rPr>
        <w:t>No resultan válidas las censuras que por esta vía se proponen partiendo de una interpretación equívoca o acomodada de la norma que en criterio del impugnante se excluyó, es preciso que se ciña a la que surge nítidamente de su tenor, sin agregados ni acondicionamientos propios.</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lastRenderedPageBreak/>
        <w:tab/>
        <w:t>Además, en tratándose de la exclusión evidente corresponde al demandante la carga de acreditar por qué la norma que echa de menos era la llamada a resolver el caso y, por ende, debía guiar el examen jurídico (CSJ SP, 16 Oct. 2013, Rad. 42258).</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r>
      <w:r w:rsidRPr="009A48B0">
        <w:rPr>
          <w:rFonts w:ascii="Bookman Old Style" w:eastAsia="Times New Roman" w:hAnsi="Bookman Old Style" w:cs="Times New Roman"/>
          <w:b/>
          <w:sz w:val="28"/>
          <w:szCs w:val="28"/>
        </w:rPr>
        <w:t>2.1.1</w:t>
      </w:r>
      <w:r w:rsidRPr="009A48B0">
        <w:rPr>
          <w:rFonts w:ascii="Bookman Old Style" w:eastAsia="Times New Roman" w:hAnsi="Bookman Old Style" w:cs="Times New Roman"/>
          <w:sz w:val="28"/>
          <w:szCs w:val="28"/>
        </w:rPr>
        <w:t xml:space="preserve"> En el asunto de la especie, el censor sustenta el cargo por violación directa de la norma en que el ad </w:t>
      </w:r>
      <w:proofErr w:type="spellStart"/>
      <w:r w:rsidRPr="009A48B0">
        <w:rPr>
          <w:rFonts w:ascii="Bookman Old Style" w:eastAsia="Times New Roman" w:hAnsi="Bookman Old Style" w:cs="Times New Roman"/>
          <w:sz w:val="28"/>
          <w:szCs w:val="28"/>
        </w:rPr>
        <w:t>quem</w:t>
      </w:r>
      <w:proofErr w:type="spellEnd"/>
      <w:r w:rsidRPr="009A48B0">
        <w:rPr>
          <w:rFonts w:ascii="Bookman Old Style" w:eastAsia="Times New Roman" w:hAnsi="Bookman Old Style" w:cs="Times New Roman"/>
          <w:sz w:val="28"/>
          <w:szCs w:val="28"/>
        </w:rPr>
        <w:t xml:space="preserve"> dejó de aplicar un precepto sustancial llamado a regular el caso concreto, valga decir, la Ley 1652 de 2013, mediante la cual se dictan disposiciones acerca de la entrevista forense y el testimonio en procesos penales de niños, niñas y adolescentes víctimas de delitos contra la libertad, integridad y formación sexuales, que según afirma, le otorgó a la primera «</w:t>
      </w:r>
      <w:r w:rsidRPr="009A48B0">
        <w:rPr>
          <w:rFonts w:ascii="Bookman Old Style" w:eastAsia="Times New Roman" w:hAnsi="Bookman Old Style" w:cs="Times New Roman"/>
          <w:i/>
          <w:sz w:val="28"/>
          <w:szCs w:val="28"/>
        </w:rPr>
        <w:t>la calidad de prueba autónoma</w:t>
      </w:r>
      <w:r w:rsidRPr="009A48B0">
        <w:rPr>
          <w:rFonts w:ascii="Bookman Old Style" w:eastAsia="Times New Roman" w:hAnsi="Bookman Old Style" w:cs="Times New Roman"/>
          <w:sz w:val="28"/>
          <w:szCs w:val="28"/>
        </w:rPr>
        <w:t>», no obstante lo cual el juez colegiado no apreció «</w:t>
      </w:r>
      <w:r w:rsidRPr="009A48B0">
        <w:rPr>
          <w:rFonts w:ascii="Bookman Old Style" w:eastAsia="Times New Roman" w:hAnsi="Bookman Old Style" w:cs="Times New Roman"/>
          <w:i/>
          <w:sz w:val="28"/>
          <w:szCs w:val="28"/>
        </w:rPr>
        <w:t>en su plenitud la entrevista forense compilada a la menor</w:t>
      </w:r>
      <w:r w:rsidRPr="009A48B0">
        <w:rPr>
          <w:rFonts w:ascii="Bookman Old Style" w:eastAsia="Times New Roman" w:hAnsi="Bookman Old Style" w:cs="Times New Roman"/>
          <w:sz w:val="28"/>
          <w:szCs w:val="28"/>
        </w:rPr>
        <w:t xml:space="preserve">», conllevando tal yerro a la absolución del acusado.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 xml:space="preserve">Un primer aspecto en que se equivoca el recurrente, es que a pesar de postular la violación directa de la ley, omite indicar por qué deben considerarse como preceptos sustanciales los artículos 1 y 2 de la normativa citada </w:t>
      </w:r>
      <w:r w:rsidRPr="009A48B0">
        <w:rPr>
          <w:rFonts w:ascii="Bookman Old Style" w:eastAsia="Times New Roman" w:hAnsi="Bookman Old Style" w:cs="Times New Roman"/>
          <w:i/>
          <w:sz w:val="28"/>
          <w:szCs w:val="28"/>
        </w:rPr>
        <w:t>ut supra</w:t>
      </w:r>
      <w:r w:rsidRPr="009A48B0">
        <w:rPr>
          <w:rFonts w:ascii="Bookman Old Style" w:eastAsia="Times New Roman" w:hAnsi="Bookman Old Style" w:cs="Times New Roman"/>
          <w:sz w:val="28"/>
          <w:szCs w:val="28"/>
        </w:rPr>
        <w:t xml:space="preserve">, limitándose a afirmar que no hay duda que tienen esa particularidad, cuando lo cierto es que las disposiciones enunciadas regulan aspectos relativos a la entrevista forense, a la que otorgan la calidad de elemento material probatorio e indican cuándo y de qué manera se debe realizar, para finalmente, en el artículo 3 de la ley,  </w:t>
      </w:r>
      <w:r w:rsidRPr="009A48B0">
        <w:rPr>
          <w:rFonts w:ascii="Bookman Old Style" w:eastAsia="Times New Roman" w:hAnsi="Bookman Old Style" w:cs="Times New Roman"/>
          <w:sz w:val="28"/>
          <w:szCs w:val="28"/>
        </w:rPr>
        <w:lastRenderedPageBreak/>
        <w:t xml:space="preserve">establecer una nueva causal de admisión excepcional de la prueba de referencia.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En esa medida, conforme a la jurisprudencia de la Sala</w:t>
      </w:r>
      <w:r w:rsidRPr="009A48B0">
        <w:rPr>
          <w:rFonts w:ascii="Bookman Old Style" w:eastAsia="Times New Roman" w:hAnsi="Bookman Old Style" w:cs="Times New Roman"/>
          <w:sz w:val="28"/>
          <w:szCs w:val="28"/>
          <w:vertAlign w:val="superscript"/>
        </w:rPr>
        <w:footnoteReference w:id="2"/>
      </w:r>
      <w:r w:rsidRPr="009A48B0">
        <w:rPr>
          <w:rFonts w:ascii="Bookman Old Style" w:eastAsia="Times New Roman" w:hAnsi="Bookman Old Style" w:cs="Times New Roman"/>
          <w:sz w:val="28"/>
          <w:szCs w:val="28"/>
        </w:rPr>
        <w:t xml:space="preserve">, las referidas normas tienen un carácter eminentemente procesal o instrumental, porque no consagran comportamientos de naturaleza delictiva, ni se refieren a la sanción que acarrea la conducta punible, tampoco dicen relación con las condiciones de punibilidad o de responsabilidad del procesado, no establecen circunstancias genéricas o específicas de agravación o atenuación, ni </w:t>
      </w:r>
      <w:r w:rsidRPr="009A48B0">
        <w:rPr>
          <w:rFonts w:ascii="Bookman Old Style" w:eastAsia="Times New Roman" w:hAnsi="Bookman Old Style" w:cs="Arial"/>
          <w:sz w:val="28"/>
          <w:szCs w:val="28"/>
        </w:rPr>
        <w:t xml:space="preserve">recogen principios del derecho penal como la presunción de inocencia, el </w:t>
      </w:r>
      <w:r w:rsidRPr="009A48B0">
        <w:rPr>
          <w:rFonts w:ascii="Bookman Old Style" w:eastAsia="Times New Roman" w:hAnsi="Bookman Old Style" w:cs="Arial"/>
          <w:i/>
          <w:sz w:val="28"/>
          <w:szCs w:val="28"/>
        </w:rPr>
        <w:t>in dubio pro reo</w:t>
      </w:r>
      <w:r w:rsidRPr="009A48B0">
        <w:rPr>
          <w:rFonts w:ascii="Bookman Old Style" w:eastAsia="Times New Roman" w:hAnsi="Bookman Old Style" w:cs="Arial"/>
          <w:sz w:val="28"/>
          <w:szCs w:val="28"/>
        </w:rPr>
        <w:t xml:space="preserve">, la favorabilidad o la prohibición de </w:t>
      </w:r>
      <w:proofErr w:type="spellStart"/>
      <w:r w:rsidRPr="009A48B0">
        <w:rPr>
          <w:rFonts w:ascii="Bookman Old Style" w:eastAsia="Times New Roman" w:hAnsi="Bookman Old Style" w:cs="Arial"/>
          <w:i/>
          <w:sz w:val="28"/>
          <w:szCs w:val="28"/>
        </w:rPr>
        <w:t>reformatio</w:t>
      </w:r>
      <w:proofErr w:type="spellEnd"/>
      <w:r w:rsidRPr="009A48B0">
        <w:rPr>
          <w:rFonts w:ascii="Bookman Old Style" w:eastAsia="Times New Roman" w:hAnsi="Bookman Old Style" w:cs="Arial"/>
          <w:i/>
          <w:sz w:val="28"/>
          <w:szCs w:val="28"/>
        </w:rPr>
        <w:t xml:space="preserve"> in </w:t>
      </w:r>
      <w:proofErr w:type="spellStart"/>
      <w:r w:rsidRPr="009A48B0">
        <w:rPr>
          <w:rFonts w:ascii="Bookman Old Style" w:eastAsia="Times New Roman" w:hAnsi="Bookman Old Style" w:cs="Arial"/>
          <w:i/>
          <w:sz w:val="28"/>
          <w:szCs w:val="28"/>
        </w:rPr>
        <w:t>pejus</w:t>
      </w:r>
      <w:proofErr w:type="spellEnd"/>
      <w:r w:rsidRPr="009A48B0">
        <w:rPr>
          <w:rFonts w:ascii="Bookman Old Style" w:eastAsia="Times New Roman" w:hAnsi="Bookman Old Style" w:cs="Arial"/>
          <w:sz w:val="28"/>
          <w:szCs w:val="28"/>
        </w:rPr>
        <w:t>.</w:t>
      </w:r>
      <w:r w:rsidRPr="009A48B0">
        <w:rPr>
          <w:rFonts w:ascii="Bookman Old Style" w:eastAsia="Times New Roman" w:hAnsi="Bookman Old Style" w:cs="Times New Roman"/>
          <w:sz w:val="28"/>
          <w:szCs w:val="28"/>
        </w:rPr>
        <w:t xml:space="preserve">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Lo anterior explica por qué la demanda no sigue los derroteros de lógica y adecuada fundamentación que impone la glosa ensayada, toda vez que allí no se demuestra cuál fue la situación fáctica declarada por el juzgador de segundo grado y cómo dejó de aplicarse la consecuencia en el derecho prevista en la norma supuestamente excluida, evidenciándose que en el fondo la inconformidad del impugnante gira en torno a la condición de «</w:t>
      </w:r>
      <w:r w:rsidRPr="009A48B0">
        <w:rPr>
          <w:rFonts w:ascii="Bookman Old Style" w:eastAsia="Times New Roman" w:hAnsi="Bookman Old Style" w:cs="Times New Roman"/>
          <w:i/>
          <w:sz w:val="28"/>
          <w:szCs w:val="28"/>
        </w:rPr>
        <w:t>prueba autónoma</w:t>
      </w:r>
      <w:r w:rsidRPr="009A48B0">
        <w:rPr>
          <w:rFonts w:ascii="Bookman Old Style" w:eastAsia="Times New Roman" w:hAnsi="Bookman Old Style" w:cs="Times New Roman"/>
          <w:sz w:val="28"/>
          <w:szCs w:val="28"/>
        </w:rPr>
        <w:t xml:space="preserve">» que, dice, la ley inaplicada le fija a la entrevista forense realizada a menores víctimas de delitos sexuales, vicio que debió denunciar por la senda de la violación indirecta por error de derecho por falso juicio de convicción, puesto que en últimas lo que se discute es la aptitud que el </w:t>
      </w:r>
      <w:r w:rsidRPr="009A48B0">
        <w:rPr>
          <w:rFonts w:ascii="Bookman Old Style" w:eastAsia="Times New Roman" w:hAnsi="Bookman Old Style" w:cs="Times New Roman"/>
          <w:sz w:val="28"/>
          <w:szCs w:val="28"/>
        </w:rPr>
        <w:lastRenderedPageBreak/>
        <w:t>precepto otorga a un específico elemento probatorio –</w:t>
      </w:r>
      <w:r w:rsidRPr="009A48B0">
        <w:rPr>
          <w:rFonts w:ascii="Bookman Old Style" w:eastAsia="Times New Roman" w:hAnsi="Bookman Old Style" w:cs="Times New Roman"/>
          <w:sz w:val="24"/>
          <w:szCs w:val="24"/>
        </w:rPr>
        <w:t>entrevista forense</w:t>
      </w:r>
      <w:r w:rsidRPr="009A48B0">
        <w:rPr>
          <w:rFonts w:ascii="Bookman Old Style" w:eastAsia="Times New Roman" w:hAnsi="Bookman Old Style" w:cs="Times New Roman"/>
          <w:sz w:val="28"/>
          <w:szCs w:val="28"/>
        </w:rPr>
        <w:t xml:space="preserve">– para acreditar determinada circunstancia o hecho de la conducta punible y de la responsabilidad del acusado.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Al margen de lo anterior, tampoco es acertado afirmar que la Ley 1652 de julio 12 de 2013 establece que la entrevista forense es una «</w:t>
      </w:r>
      <w:r w:rsidRPr="009A48B0">
        <w:rPr>
          <w:rFonts w:ascii="Bookman Old Style" w:eastAsia="Times New Roman" w:hAnsi="Bookman Old Style" w:cs="Times New Roman"/>
          <w:i/>
          <w:sz w:val="28"/>
          <w:szCs w:val="28"/>
        </w:rPr>
        <w:t>prueba autónoma</w:t>
      </w:r>
      <w:r w:rsidRPr="009A48B0">
        <w:rPr>
          <w:rFonts w:ascii="Bookman Old Style" w:eastAsia="Times New Roman" w:hAnsi="Bookman Old Style" w:cs="Times New Roman"/>
          <w:sz w:val="28"/>
          <w:szCs w:val="28"/>
        </w:rPr>
        <w:t>», pues en la sistemática de la Ley 906 de 2004 que gobierna la presente actuación, prueba solo es aquella que ha sido practicada o incorporada en la audiencia de juicio oral y público, en presencia del juez y sujeta a confrontación y contradicción por las partes, de conformidad con el principio de inmediación –</w:t>
      </w:r>
      <w:r w:rsidRPr="009A48B0">
        <w:rPr>
          <w:rFonts w:ascii="Bookman Old Style" w:eastAsia="Times New Roman" w:hAnsi="Bookman Old Style" w:cs="Times New Roman"/>
          <w:sz w:val="24"/>
          <w:szCs w:val="24"/>
        </w:rPr>
        <w:t>art. 16 ídem</w:t>
      </w:r>
      <w:r w:rsidRPr="009A48B0">
        <w:rPr>
          <w:rFonts w:ascii="Bookman Old Style" w:eastAsia="Times New Roman" w:hAnsi="Bookman Old Style" w:cs="Times New Roman"/>
          <w:sz w:val="28"/>
          <w:szCs w:val="28"/>
        </w:rPr>
        <w:t xml:space="preserve">– y según lo reglado en los artículos 377, 378 y 379 de la normativa en cita.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En ese orden, como lo tiene decantado la jurisprudencia de la Sala, los interrogatorios, declaraciones juradas y entrevistas pueden ser utilizadas por las partes en el debate oral para refrescar la memoria del testigo –</w:t>
      </w:r>
      <w:r w:rsidRPr="009A48B0">
        <w:rPr>
          <w:rFonts w:ascii="Bookman Old Style" w:eastAsia="Times New Roman" w:hAnsi="Bookman Old Style" w:cs="Times New Roman"/>
          <w:sz w:val="24"/>
          <w:szCs w:val="24"/>
        </w:rPr>
        <w:t>art. 392, literal d) ibídem</w:t>
      </w:r>
      <w:r w:rsidRPr="009A48B0">
        <w:rPr>
          <w:rFonts w:ascii="Bookman Old Style" w:eastAsia="Times New Roman" w:hAnsi="Bookman Old Style" w:cs="Times New Roman"/>
          <w:sz w:val="28"/>
          <w:szCs w:val="28"/>
        </w:rPr>
        <w:t>– o para impugnar su credibilidad –</w:t>
      </w:r>
      <w:r w:rsidRPr="009A48B0">
        <w:rPr>
          <w:rFonts w:ascii="Bookman Old Style" w:eastAsia="Times New Roman" w:hAnsi="Bookman Old Style" w:cs="Times New Roman"/>
          <w:sz w:val="24"/>
          <w:szCs w:val="24"/>
        </w:rPr>
        <w:t xml:space="preserve">arts. 347, 393, literal b) y 403, numeral 4 </w:t>
      </w:r>
      <w:proofErr w:type="spellStart"/>
      <w:r w:rsidRPr="009A48B0">
        <w:rPr>
          <w:rFonts w:ascii="Bookman Old Style" w:eastAsia="Times New Roman" w:hAnsi="Bookman Old Style" w:cs="Times New Roman"/>
          <w:sz w:val="24"/>
          <w:szCs w:val="24"/>
        </w:rPr>
        <w:t>ejusdem</w:t>
      </w:r>
      <w:proofErr w:type="spellEnd"/>
      <w:r w:rsidRPr="009A48B0">
        <w:rPr>
          <w:rFonts w:ascii="Bookman Old Style" w:eastAsia="Times New Roman" w:hAnsi="Bookman Old Style" w:cs="Times New Roman"/>
          <w:sz w:val="28"/>
          <w:szCs w:val="28"/>
        </w:rPr>
        <w:t xml:space="preserve">–, pero no tienen la naturaleza de prueba autónoma e independiente, sin perjuicio de que el juez pueda apreciar su contenido, como acontece en los casos de menores víctimas de abuso sexual, siempre y cuando se garanticen los principios de contradicción y confrontación en el juicio oral, lo cual se cumple cuando la parte contra quien se aduce tiene la oportunidad y posibilidad de contrainterrogar al testigo sobre sus declaraciones anteriores, pues es a través de éste </w:t>
      </w:r>
      <w:r w:rsidRPr="009A48B0">
        <w:rPr>
          <w:rFonts w:ascii="Bookman Old Style" w:eastAsia="Times New Roman" w:hAnsi="Bookman Old Style" w:cs="Times New Roman"/>
          <w:sz w:val="28"/>
          <w:szCs w:val="28"/>
        </w:rPr>
        <w:lastRenderedPageBreak/>
        <w:t xml:space="preserve">con quien se incorpora su contenido (CSJ AP, 28 ago. 2013, rad. 41764; CSJ AP, 11 dic. 2013, rad. 40239 y CSJ SP, 2 jul. 2014, rad. 34131).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Lo que la preceptiva en cuestión hizo al adicionar el artículo 275 de la Ley 906 de 2004, entre otros aspectos, fue dotar a la entrevista forense que se realiza a niños, niñas y adolescentes objeto de delitos contra la libertad, integridad y formación sexuales, del carácter de «</w:t>
      </w:r>
      <w:r w:rsidRPr="009A48B0">
        <w:rPr>
          <w:rFonts w:ascii="Bookman Old Style" w:eastAsia="Times New Roman" w:hAnsi="Bookman Old Style" w:cs="Times New Roman"/>
          <w:i/>
          <w:sz w:val="28"/>
          <w:szCs w:val="28"/>
        </w:rPr>
        <w:t>elemento material probatorio</w:t>
      </w:r>
      <w:r w:rsidRPr="009A48B0">
        <w:rPr>
          <w:rFonts w:ascii="Bookman Old Style" w:eastAsia="Times New Roman" w:hAnsi="Bookman Old Style" w:cs="Times New Roman"/>
          <w:sz w:val="28"/>
          <w:szCs w:val="28"/>
        </w:rPr>
        <w:t>» y, con ello, consagró normativamente la posibilidad de que pueda ser incorporada o aducida al juicio oral a través del profesional de la psicología que entrevista y valora a la víctima, quien según el literal f) del nuevo artículo 206A de la citada codificación, «</w:t>
      </w:r>
      <w:r w:rsidRPr="009A48B0">
        <w:rPr>
          <w:rFonts w:ascii="Bookman Old Style" w:eastAsia="Times New Roman" w:hAnsi="Bookman Old Style" w:cs="Times New Roman"/>
          <w:i/>
          <w:sz w:val="28"/>
          <w:szCs w:val="28"/>
        </w:rPr>
        <w:t>podrá ser citado a rendir testimonio sobre la entrevista y el informe realizado</w:t>
      </w:r>
      <w:r w:rsidRPr="009A48B0">
        <w:rPr>
          <w:rFonts w:ascii="Bookman Old Style" w:eastAsia="Times New Roman" w:hAnsi="Bookman Old Style" w:cs="Times New Roman"/>
          <w:sz w:val="28"/>
          <w:szCs w:val="28"/>
        </w:rPr>
        <w:t>».</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Ahora, como esa manifestación anterior no es traída al juicio oral por su autor, sino por un tercero, se trata de prueba de referencia en los términos del artículo 437 de la Ley 906 de 2004 y, por tanto, su admisibilidad queda supeditada a que se acredite alguna de las hipótesis previstas en el artículo 438 ibídem, norma que valga destacar fue adicionada por la Ley 1652 de 2013 con un literal e) que precisamente contempla la anotada situación, pues señala que la prueba de referencia será admisible cuando el declarante «</w:t>
      </w:r>
      <w:r w:rsidRPr="009A48B0">
        <w:rPr>
          <w:rFonts w:ascii="Bookman Old Style" w:eastAsia="Times New Roman" w:hAnsi="Bookman Old Style" w:cs="Times New Roman"/>
          <w:i/>
          <w:sz w:val="28"/>
          <w:szCs w:val="28"/>
        </w:rPr>
        <w:t>Es menor de dieciocho (18) años y víctima de los delitos contra la libertad, integridad y formación sexuales tipificados en el Título IV del Código Penal, al igual que en los artículos 138, 139, 141, 188A, 188C, 188D, del mismo código</w:t>
      </w:r>
      <w:r w:rsidRPr="009A48B0">
        <w:rPr>
          <w:rFonts w:ascii="Bookman Old Style" w:eastAsia="Times New Roman" w:hAnsi="Bookman Old Style" w:cs="Times New Roman"/>
          <w:sz w:val="28"/>
          <w:szCs w:val="28"/>
        </w:rPr>
        <w:t xml:space="preserve">».        </w:t>
      </w: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lastRenderedPageBreak/>
        <w:tab/>
        <w:t>En otras palabras, además de la posibilidad desarrollada por la jurisprudencia de incorporar al juicio la entrevista forense realizada al menor objeto de abuso sexual a través de su testimonio, y apreciarla en conjunto con éste «</w:t>
      </w:r>
      <w:r w:rsidRPr="009A48B0">
        <w:rPr>
          <w:rFonts w:ascii="Bookman Old Style" w:eastAsia="Times New Roman" w:hAnsi="Bookman Old Style" w:cs="Times New Roman"/>
          <w:i/>
          <w:sz w:val="28"/>
          <w:szCs w:val="28"/>
        </w:rPr>
        <w:t>como elemento de juicio para el mejor conocimiento de los hechos, mas no porque la exposición entre al caudal probatorio como prueba autónoma, sino porque se incorpora legítimamente a lo vertido en el juicio por quien la rindió</w:t>
      </w:r>
      <w:r w:rsidRPr="009A48B0">
        <w:rPr>
          <w:rFonts w:ascii="Bookman Old Style" w:eastAsia="Times New Roman" w:hAnsi="Bookman Old Style" w:cs="Times New Roman"/>
          <w:sz w:val="28"/>
          <w:szCs w:val="28"/>
        </w:rPr>
        <w:t>»</w:t>
      </w:r>
      <w:r w:rsidRPr="009A48B0">
        <w:rPr>
          <w:rFonts w:ascii="Bookman Old Style" w:eastAsia="Times New Roman" w:hAnsi="Bookman Old Style" w:cs="Times New Roman"/>
          <w:sz w:val="28"/>
          <w:szCs w:val="28"/>
          <w:vertAlign w:val="superscript"/>
        </w:rPr>
        <w:footnoteReference w:id="3"/>
      </w:r>
      <w:r w:rsidRPr="009A48B0">
        <w:rPr>
          <w:rFonts w:ascii="Bookman Old Style" w:eastAsia="Times New Roman" w:hAnsi="Bookman Old Style" w:cs="Times New Roman"/>
          <w:sz w:val="28"/>
          <w:szCs w:val="28"/>
        </w:rPr>
        <w:t>; surge por disposición legal la alternativa de aducir al debate oral tal declaración de la víctima, como un elemento material probatorio, pero con las limitaciones y bajo la exigencias establecidas para la prueba de referencia en los artículos 381 y 438 de la Ley 906 de 2004.</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4"/>
          <w:szCs w:val="24"/>
        </w:rPr>
      </w:pPr>
      <w:r w:rsidRPr="009A48B0">
        <w:rPr>
          <w:rFonts w:ascii="Bookman Old Style" w:eastAsia="Times New Roman" w:hAnsi="Bookman Old Style" w:cs="Times New Roman"/>
          <w:sz w:val="28"/>
          <w:szCs w:val="28"/>
        </w:rPr>
        <w:tab/>
        <w:t xml:space="preserve">Por lo demás, el </w:t>
      </w:r>
      <w:proofErr w:type="spellStart"/>
      <w:r w:rsidRPr="009A48B0">
        <w:rPr>
          <w:rFonts w:ascii="Bookman Old Style" w:eastAsia="Times New Roman" w:hAnsi="Bookman Old Style" w:cs="Times New Roman"/>
          <w:sz w:val="28"/>
          <w:szCs w:val="28"/>
        </w:rPr>
        <w:t>casacionista</w:t>
      </w:r>
      <w:proofErr w:type="spellEnd"/>
      <w:r w:rsidRPr="009A48B0">
        <w:rPr>
          <w:rFonts w:ascii="Bookman Old Style" w:eastAsia="Times New Roman" w:hAnsi="Bookman Old Style" w:cs="Times New Roman"/>
          <w:sz w:val="28"/>
          <w:szCs w:val="28"/>
        </w:rPr>
        <w:t xml:space="preserve"> se queda corto en la demostración de la trascendencia del error alegado, pues no indica qué aspectos de la entrevista forense realizada a la niña K.T.B.S., dejaron de ser apreciados por el Tribunal a consecuencia de considerar que dicha exposición anterior no podía ser valorada conjuntamente con el testimonio que aquella rindió en el juicio, lo que la Corte, revisados los registros de audio del debate oral y la declaración anterior de la menor, tampoco advierte, pues en esencia contienen la misma información sobre el desarrollo de los hechos juzgados, con lo cual queda sin sustento la censura propuesta.</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En esa medida, se rechazará el cargo.</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b/>
          <w:w w:val="105"/>
          <w:sz w:val="28"/>
          <w:szCs w:val="28"/>
        </w:rPr>
      </w:pPr>
      <w:r w:rsidRPr="009A48B0">
        <w:rPr>
          <w:rFonts w:ascii="Bookman Old Style" w:eastAsia="Times New Roman" w:hAnsi="Bookman Old Style" w:cs="Times New Roman"/>
          <w:b/>
          <w:w w:val="105"/>
          <w:sz w:val="28"/>
          <w:szCs w:val="28"/>
        </w:rPr>
        <w:lastRenderedPageBreak/>
        <w:tab/>
        <w:t>2.2 Segundo cargo por violación indirecta de la norma sustancial por falso raciocinio.</w:t>
      </w:r>
    </w:p>
    <w:p w:rsidR="009A48B0" w:rsidRPr="009A48B0" w:rsidRDefault="009A48B0" w:rsidP="009A48B0">
      <w:pPr>
        <w:spacing w:line="480" w:lineRule="auto"/>
        <w:jc w:val="both"/>
        <w:rPr>
          <w:rFonts w:ascii="Bookman Old Style" w:eastAsia="Times New Roman" w:hAnsi="Bookman Old Style" w:cs="Times New Roman"/>
          <w:w w:val="105"/>
          <w:sz w:val="28"/>
          <w:szCs w:val="28"/>
        </w:rPr>
      </w:pPr>
    </w:p>
    <w:p w:rsidR="009A48B0" w:rsidRPr="009A48B0" w:rsidRDefault="009A48B0" w:rsidP="009A48B0">
      <w:pPr>
        <w:tabs>
          <w:tab w:val="left" w:pos="8640"/>
        </w:tabs>
        <w:spacing w:after="120" w:line="360" w:lineRule="auto"/>
        <w:ind w:right="23" w:firstLine="851"/>
        <w:jc w:val="both"/>
        <w:rPr>
          <w:rFonts w:ascii="Bookman Old Style" w:eastAsia="Times New Roman" w:hAnsi="Bookman Old Style" w:cs="Arial"/>
          <w:w w:val="105"/>
          <w:sz w:val="28"/>
          <w:szCs w:val="28"/>
          <w:lang w:eastAsia="es-ES"/>
        </w:rPr>
      </w:pPr>
      <w:r w:rsidRPr="009A48B0">
        <w:rPr>
          <w:rFonts w:ascii="Bookman Old Style" w:eastAsia="Times New Roman" w:hAnsi="Bookman Old Style" w:cs="Arial"/>
          <w:w w:val="105"/>
          <w:sz w:val="28"/>
          <w:szCs w:val="28"/>
          <w:lang w:eastAsia="es-ES"/>
        </w:rPr>
        <w:t xml:space="preserve">La Sala recuerda que por esta vía se quebranta indirectamente la ley sustancial, cuando existiendo legalmente la prueba y pese a ser valorada en su integridad, se le asigna un poder de convicción que desconoce los postulados de la sana crítica, vale decir, las reglas de la lógica, las máximas de la experiencia o las leyes de la ciencia.   </w:t>
      </w:r>
    </w:p>
    <w:p w:rsidR="009A48B0" w:rsidRPr="009A48B0" w:rsidRDefault="009A48B0" w:rsidP="009A48B0">
      <w:pPr>
        <w:spacing w:line="480" w:lineRule="auto"/>
        <w:jc w:val="both"/>
        <w:rPr>
          <w:rFonts w:ascii="Bookman Old Style" w:eastAsia="Times New Roman" w:hAnsi="Bookman Old Style" w:cs="Times New Roman"/>
          <w:w w:val="105"/>
          <w:sz w:val="28"/>
          <w:szCs w:val="28"/>
          <w:lang w:eastAsia="es-ES"/>
        </w:rPr>
      </w:pPr>
    </w:p>
    <w:p w:rsidR="009A48B0" w:rsidRPr="009A48B0" w:rsidRDefault="009A48B0" w:rsidP="009A48B0">
      <w:pPr>
        <w:spacing w:line="360" w:lineRule="auto"/>
        <w:jc w:val="both"/>
        <w:rPr>
          <w:rFonts w:ascii="Bookman Old Style" w:eastAsia="Times New Roman" w:hAnsi="Bookman Old Style" w:cs="Times New Roman"/>
          <w:w w:val="105"/>
          <w:sz w:val="28"/>
          <w:szCs w:val="28"/>
          <w:lang w:eastAsia="es-ES"/>
        </w:rPr>
      </w:pPr>
      <w:r w:rsidRPr="009A48B0">
        <w:rPr>
          <w:rFonts w:ascii="Bookman Old Style" w:eastAsia="Times New Roman" w:hAnsi="Bookman Old Style" w:cs="Arial"/>
          <w:w w:val="105"/>
          <w:sz w:val="28"/>
          <w:szCs w:val="28"/>
          <w:lang w:eastAsia="es-ES"/>
        </w:rPr>
        <w:tab/>
        <w:t xml:space="preserve">En consonancia con lo anterior, el </w:t>
      </w:r>
      <w:proofErr w:type="spellStart"/>
      <w:r w:rsidRPr="009A48B0">
        <w:rPr>
          <w:rFonts w:ascii="Bookman Old Style" w:eastAsia="Times New Roman" w:hAnsi="Bookman Old Style" w:cs="Arial"/>
          <w:w w:val="105"/>
          <w:sz w:val="28"/>
          <w:szCs w:val="28"/>
          <w:lang w:eastAsia="es-ES"/>
        </w:rPr>
        <w:t>casacionista</w:t>
      </w:r>
      <w:proofErr w:type="spellEnd"/>
      <w:r w:rsidRPr="009A48B0">
        <w:rPr>
          <w:rFonts w:ascii="Bookman Old Style" w:eastAsia="Times New Roman" w:hAnsi="Bookman Old Style" w:cs="Arial"/>
          <w:w w:val="105"/>
          <w:sz w:val="28"/>
          <w:szCs w:val="28"/>
          <w:lang w:eastAsia="es-ES"/>
        </w:rPr>
        <w:t xml:space="preserve"> no puede quedarse en meros enunciados, sino que le corresponde la carga de indicar el medio de conocimiento sobre el cual recae el yerro; qué dice objetivamente; qué mérito demostrativo le asignó el juzgador en el fallo atacado; cuál o cuáles fueron las reglas de la lógica, las máximas de la experiencia o las leyes de la ciencia desconocidas por el fallador en la apreciación probatoria y cómo debieron ser correctamente aplicadas; así como su trascendencia, al extremo que de no haber incurrido en tal error ello habría determinado un fallo sustancialmente opuesto al declarado en la decisión impugnada; indicando además, la norma de derecho sustancial excluida o indebidamente aplicada (CSJ SP, 23 Nov. 2000, </w:t>
      </w:r>
      <w:r w:rsidRPr="009A48B0">
        <w:rPr>
          <w:rFonts w:ascii="Bookman Old Style" w:eastAsia="Times New Roman" w:hAnsi="Bookman Old Style" w:cs="Times New Roman"/>
          <w:w w:val="105"/>
          <w:sz w:val="28"/>
          <w:szCs w:val="28"/>
          <w:lang w:eastAsia="es-ES"/>
        </w:rPr>
        <w:t xml:space="preserve">Rad. 10479; CSJ AP, 18 Ago. 2010, Rad. 33919; CSJ AP, 6 Ago. 2013, Rad. 41368; y, CSJ AP, 20 Nov. 2013, Rad. 42344; entre otros). </w:t>
      </w:r>
    </w:p>
    <w:p w:rsidR="009A48B0" w:rsidRPr="009A48B0" w:rsidRDefault="009A48B0" w:rsidP="009A48B0">
      <w:pPr>
        <w:spacing w:line="480" w:lineRule="auto"/>
        <w:jc w:val="both"/>
        <w:rPr>
          <w:rFonts w:ascii="Bookman Old Style" w:eastAsia="Times New Roman" w:hAnsi="Bookman Old Style" w:cs="Times New Roman"/>
          <w:sz w:val="28"/>
          <w:szCs w:val="28"/>
          <w:lang w:eastAsia="es-ES"/>
        </w:rPr>
      </w:pPr>
    </w:p>
    <w:p w:rsidR="009A48B0" w:rsidRPr="009A48B0" w:rsidRDefault="009A48B0" w:rsidP="009A48B0">
      <w:pPr>
        <w:tabs>
          <w:tab w:val="left" w:pos="8640"/>
        </w:tabs>
        <w:spacing w:after="120" w:line="360" w:lineRule="auto"/>
        <w:ind w:right="23" w:firstLine="709"/>
        <w:jc w:val="both"/>
        <w:rPr>
          <w:rFonts w:ascii="Bookman Old Style" w:eastAsia="Times New Roman" w:hAnsi="Bookman Old Style" w:cs="Times New Roman"/>
          <w:sz w:val="28"/>
          <w:szCs w:val="28"/>
          <w:lang w:eastAsia="es-ES"/>
        </w:rPr>
      </w:pPr>
      <w:r w:rsidRPr="009A48B0">
        <w:rPr>
          <w:rFonts w:ascii="Bookman Old Style" w:eastAsia="Times New Roman" w:hAnsi="Bookman Old Style" w:cs="Times New Roman"/>
          <w:b/>
          <w:sz w:val="28"/>
          <w:szCs w:val="28"/>
          <w:lang w:eastAsia="es-ES"/>
        </w:rPr>
        <w:lastRenderedPageBreak/>
        <w:t xml:space="preserve">2.2.1 </w:t>
      </w:r>
      <w:r w:rsidRPr="009A48B0">
        <w:rPr>
          <w:rFonts w:ascii="Bookman Old Style" w:eastAsia="Times New Roman" w:hAnsi="Bookman Old Style" w:cs="Times New Roman"/>
          <w:sz w:val="28"/>
          <w:szCs w:val="28"/>
          <w:lang w:eastAsia="es-ES"/>
        </w:rPr>
        <w:t>Según el actor, el vicio denunciado se presenta en la valoración del «</w:t>
      </w:r>
      <w:r w:rsidRPr="009A48B0">
        <w:rPr>
          <w:rFonts w:ascii="Bookman Old Style" w:eastAsia="Times New Roman" w:hAnsi="Bookman Old Style" w:cs="Times New Roman"/>
          <w:i/>
          <w:sz w:val="28"/>
          <w:szCs w:val="28"/>
          <w:lang w:eastAsia="es-ES"/>
        </w:rPr>
        <w:t>testimonio y la entrevista</w:t>
      </w:r>
      <w:r w:rsidRPr="009A48B0">
        <w:rPr>
          <w:rFonts w:ascii="Bookman Old Style" w:eastAsia="Times New Roman" w:hAnsi="Bookman Old Style" w:cs="Times New Roman"/>
          <w:sz w:val="28"/>
          <w:szCs w:val="28"/>
          <w:lang w:eastAsia="es-ES"/>
        </w:rPr>
        <w:t>» recibida a la menor K.T.B.S., labor en la que, dice, el Tribunal «</w:t>
      </w:r>
      <w:r w:rsidRPr="009A48B0">
        <w:rPr>
          <w:rFonts w:ascii="Bookman Old Style" w:eastAsia="Times New Roman" w:hAnsi="Bookman Old Style" w:cs="Times New Roman"/>
          <w:i/>
          <w:sz w:val="28"/>
          <w:szCs w:val="28"/>
          <w:lang w:eastAsia="es-ES"/>
        </w:rPr>
        <w:t>se apartó de las reglas de la experiencia</w:t>
      </w:r>
      <w:r w:rsidRPr="009A48B0">
        <w:rPr>
          <w:rFonts w:ascii="Bookman Old Style" w:eastAsia="Times New Roman" w:hAnsi="Bookman Old Style" w:cs="Times New Roman"/>
          <w:sz w:val="28"/>
          <w:szCs w:val="28"/>
          <w:lang w:eastAsia="es-ES"/>
        </w:rPr>
        <w:t xml:space="preserve">», las cuales a continuación ensaya construir en orden a demostrar el reproche.   </w:t>
      </w:r>
    </w:p>
    <w:p w:rsidR="009A48B0" w:rsidRPr="009A48B0" w:rsidRDefault="009A48B0" w:rsidP="009A48B0">
      <w:pPr>
        <w:spacing w:line="360" w:lineRule="auto"/>
        <w:jc w:val="both"/>
        <w:rPr>
          <w:rFonts w:ascii="Bookman Old Style" w:eastAsia="Times New Roman" w:hAnsi="Bookman Old Style" w:cs="Times New Roman"/>
          <w:sz w:val="28"/>
          <w:szCs w:val="28"/>
          <w:lang w:eastAsia="es-ES"/>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 xml:space="preserve">De entrada la Corte advierte que el demandante se equivoca al afirmar que el ad </w:t>
      </w:r>
      <w:proofErr w:type="spellStart"/>
      <w:r w:rsidRPr="009A48B0">
        <w:rPr>
          <w:rFonts w:ascii="Bookman Old Style" w:eastAsia="Times New Roman" w:hAnsi="Bookman Old Style" w:cs="Times New Roman"/>
          <w:sz w:val="28"/>
          <w:szCs w:val="28"/>
        </w:rPr>
        <w:t>quem</w:t>
      </w:r>
      <w:proofErr w:type="spellEnd"/>
      <w:r w:rsidRPr="009A48B0">
        <w:rPr>
          <w:rFonts w:ascii="Bookman Old Style" w:eastAsia="Times New Roman" w:hAnsi="Bookman Old Style" w:cs="Times New Roman"/>
          <w:sz w:val="28"/>
          <w:szCs w:val="28"/>
        </w:rPr>
        <w:t xml:space="preserve"> trasgredió los postulados de la sana crítica, en particular las máximas de la experiencia, en la estimación de un elemento de convicción, valga decir, la </w:t>
      </w:r>
      <w:proofErr w:type="spellStart"/>
      <w:r w:rsidRPr="009A48B0">
        <w:rPr>
          <w:rFonts w:ascii="Bookman Old Style" w:eastAsia="Times New Roman" w:hAnsi="Bookman Old Style" w:cs="Times New Roman"/>
          <w:sz w:val="28"/>
          <w:szCs w:val="28"/>
        </w:rPr>
        <w:t>pluricitada</w:t>
      </w:r>
      <w:proofErr w:type="spellEnd"/>
      <w:r w:rsidRPr="009A48B0">
        <w:rPr>
          <w:rFonts w:ascii="Bookman Old Style" w:eastAsia="Times New Roman" w:hAnsi="Bookman Old Style" w:cs="Times New Roman"/>
          <w:sz w:val="28"/>
          <w:szCs w:val="28"/>
        </w:rPr>
        <w:t xml:space="preserve"> entrevista forense realizada a la niña K.T.B.S.</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 xml:space="preserve">El anterior aserto se sustenta en que justamente el juez colegiado desde un comienzo anunció en la sentencia confutada, que la mentada entrevista no iba a ser objeto de análisis probatorio, luego no podía incurrir en un yerro de estimación respecto de un medio de convicción que no tuvo en cuenta, y aun cuando en el libelo se advierte que el dislate también recae sobre el testimonio de la menor, al desarrollar la glosa únicamente se hace referencia al primero de los elementos de juicio en mención.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 xml:space="preserve">Para evidenciar lo dicho, vale la pena traer a colación lo que al respecto se expresó en el fallo de segundo grado: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ind w:left="709"/>
        <w:jc w:val="both"/>
        <w:rPr>
          <w:rFonts w:ascii="Bookman Old Style" w:eastAsia="Times New Roman" w:hAnsi="Bookman Old Style" w:cs="Times New Roman"/>
          <w:i/>
          <w:sz w:val="24"/>
          <w:szCs w:val="24"/>
        </w:rPr>
      </w:pPr>
      <w:r w:rsidRPr="009A48B0">
        <w:rPr>
          <w:rFonts w:ascii="Bookman Old Style" w:eastAsia="Times New Roman" w:hAnsi="Bookman Old Style" w:cs="Times New Roman"/>
          <w:i/>
          <w:sz w:val="24"/>
          <w:szCs w:val="24"/>
        </w:rPr>
        <w:t xml:space="preserve">Desde ese punto de vista, cualquier evento como la entrevista realizada es un relato de hechos que no ha sido objeto de contradicción ni confrontación, en tanto que la declaración en el juicio sí satisface dichas exigencias, de modo que el valor de esta </w:t>
      </w:r>
      <w:r w:rsidRPr="009A48B0">
        <w:rPr>
          <w:rFonts w:ascii="Bookman Old Style" w:eastAsia="Times New Roman" w:hAnsi="Bookman Old Style" w:cs="Times New Roman"/>
          <w:i/>
          <w:sz w:val="24"/>
          <w:szCs w:val="24"/>
        </w:rPr>
        <w:lastRenderedPageBreak/>
        <w:t xml:space="preserve">última se incrementa en tanto con la práctica de la misma se da cabal cumplimiento a las reglas estructurales mínimas del sistema penal acusatorio, mismas que no pueden ser ignoradas o menospreciadas ni siquiera cuando se trata de menores víctimas.  </w:t>
      </w:r>
    </w:p>
    <w:p w:rsidR="009A48B0" w:rsidRPr="009A48B0" w:rsidRDefault="009A48B0" w:rsidP="009A48B0">
      <w:pPr>
        <w:spacing w:line="360" w:lineRule="auto"/>
        <w:ind w:left="709"/>
        <w:jc w:val="both"/>
        <w:rPr>
          <w:rFonts w:ascii="Bookman Old Style" w:eastAsia="Times New Roman" w:hAnsi="Bookman Old Style" w:cs="Times New Roman"/>
          <w:i/>
          <w:sz w:val="24"/>
          <w:szCs w:val="24"/>
        </w:rPr>
      </w:pPr>
    </w:p>
    <w:p w:rsidR="009A48B0" w:rsidRPr="009A48B0" w:rsidRDefault="009A48B0" w:rsidP="009A48B0">
      <w:pPr>
        <w:spacing w:line="360" w:lineRule="auto"/>
        <w:ind w:left="709"/>
        <w:jc w:val="both"/>
        <w:rPr>
          <w:rFonts w:ascii="Bookman Old Style" w:eastAsia="Times New Roman" w:hAnsi="Bookman Old Style" w:cs="Times New Roman"/>
          <w:i/>
          <w:sz w:val="24"/>
          <w:szCs w:val="24"/>
        </w:rPr>
      </w:pPr>
      <w:r w:rsidRPr="009A48B0">
        <w:rPr>
          <w:rFonts w:ascii="Bookman Old Style" w:eastAsia="Times New Roman" w:hAnsi="Bookman Old Style" w:cs="Times New Roman"/>
          <w:i/>
          <w:sz w:val="24"/>
          <w:szCs w:val="24"/>
        </w:rPr>
        <w:t>Así entonces, aspectos que no fueron relatados por la menor de edad en la entrevista, no tienen la virtualidad de desestimarse o desechar lo dicho por ella en el juicio oral, en tanto que es este [el] escenario propicio para ser interrogada y contrainterrogada por las partes.</w:t>
      </w:r>
    </w:p>
    <w:p w:rsidR="009A48B0" w:rsidRPr="009A48B0" w:rsidRDefault="009A48B0" w:rsidP="009A48B0">
      <w:pPr>
        <w:spacing w:line="360" w:lineRule="auto"/>
        <w:ind w:left="709"/>
        <w:jc w:val="both"/>
        <w:rPr>
          <w:rFonts w:ascii="Bookman Old Style" w:eastAsia="Times New Roman" w:hAnsi="Bookman Old Style" w:cs="Times New Roman"/>
          <w:i/>
          <w:sz w:val="24"/>
          <w:szCs w:val="24"/>
        </w:rPr>
      </w:pPr>
    </w:p>
    <w:p w:rsidR="009A48B0" w:rsidRPr="009A48B0" w:rsidRDefault="009A48B0" w:rsidP="009A48B0">
      <w:pPr>
        <w:spacing w:line="360" w:lineRule="auto"/>
        <w:ind w:left="709"/>
        <w:jc w:val="both"/>
        <w:rPr>
          <w:rFonts w:ascii="Bookman Old Style" w:eastAsia="Times New Roman" w:hAnsi="Bookman Old Style" w:cs="Times New Roman"/>
          <w:i/>
          <w:sz w:val="24"/>
          <w:szCs w:val="24"/>
        </w:rPr>
      </w:pPr>
      <w:r w:rsidRPr="009A48B0">
        <w:rPr>
          <w:rFonts w:ascii="Bookman Old Style" w:eastAsia="Times New Roman" w:hAnsi="Bookman Old Style" w:cs="Times New Roman"/>
          <w:i/>
          <w:sz w:val="24"/>
          <w:szCs w:val="24"/>
        </w:rPr>
        <w:t xml:space="preserve">Por los motivos anteriormente expuestos, es necesario acudir a los medios de prueba que fueron debatidos en juicio tales como la declaración de la menor de edad, a fin de establecer la existencia de los hechos y si ese acto tiene la connotación de delito (…).  </w:t>
      </w:r>
    </w:p>
    <w:p w:rsidR="009A48B0" w:rsidRPr="009A48B0" w:rsidRDefault="009A48B0" w:rsidP="009A48B0">
      <w:pPr>
        <w:spacing w:line="48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En ese orden, de acuerdo al principio de  sustentación suficiente, conforme al cual la demanda debe bastarse a sí misma para propiciar la invalidación del fallo, era deber del censor demostrar previamente al desarrollo del cargo propuesto, cómo la determinación del juez colegiado de excluir de la valoración probatoria la tantas veces citada entrevista forense de la menor K.T.B.S., configura un error demandable en casación, aspecto dilucidado por la Sala al abordar el anterior reproche, para luego encargarse de enseñar la eficacia demostrativa de dicho elemento de convicción –</w:t>
      </w:r>
      <w:r w:rsidRPr="009A48B0">
        <w:rPr>
          <w:rFonts w:ascii="Bookman Old Style" w:eastAsia="Times New Roman" w:hAnsi="Bookman Old Style" w:cs="Times New Roman"/>
          <w:sz w:val="24"/>
          <w:szCs w:val="24"/>
        </w:rPr>
        <w:t>entrevista forense</w:t>
      </w:r>
      <w:r w:rsidRPr="009A48B0">
        <w:rPr>
          <w:rFonts w:ascii="Bookman Old Style" w:eastAsia="Times New Roman" w:hAnsi="Bookman Old Style" w:cs="Times New Roman"/>
          <w:sz w:val="28"/>
          <w:szCs w:val="28"/>
        </w:rPr>
        <w:t>– y cómo, valorado con el restante haz probatorio aducido al juicio oral, tenía la capacidad de trocar la declaración de justicia contenida en la sentencia recurrida, tarea que no es asumida en la demanda.</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lastRenderedPageBreak/>
        <w:tab/>
        <w:t>En efecto, el libelista da por sentado «</w:t>
      </w:r>
      <w:r w:rsidRPr="009A48B0">
        <w:rPr>
          <w:rFonts w:ascii="Bookman Old Style" w:eastAsia="Times New Roman" w:hAnsi="Bookman Old Style" w:cs="Times New Roman"/>
          <w:i/>
          <w:sz w:val="28"/>
          <w:szCs w:val="28"/>
        </w:rPr>
        <w:t>que la evidencia documental adquirió el carácter de prueba autónoma para el proceso penal</w:t>
      </w:r>
      <w:r w:rsidRPr="009A48B0">
        <w:rPr>
          <w:rFonts w:ascii="Bookman Old Style" w:eastAsia="Times New Roman" w:hAnsi="Bookman Old Style" w:cs="Times New Roman"/>
          <w:sz w:val="28"/>
          <w:szCs w:val="28"/>
        </w:rPr>
        <w:t xml:space="preserve">», pero no expone con el rigor argumental que exige el recurso extraordinario, las razones de su aserto, es decir, afirma pero no demuestra, incurriendo en el vicio lógico de petición de principio, y a partir de tal supuesto edifica sus propias reglas de la experiencia a fin de acreditar el yerro alegado.                </w:t>
      </w:r>
    </w:p>
    <w:p w:rsidR="009A48B0" w:rsidRPr="009A48B0" w:rsidRDefault="009A48B0" w:rsidP="009A48B0">
      <w:pPr>
        <w:tabs>
          <w:tab w:val="left" w:pos="8640"/>
        </w:tabs>
        <w:spacing w:after="120" w:line="360" w:lineRule="auto"/>
        <w:ind w:right="23"/>
        <w:jc w:val="both"/>
        <w:rPr>
          <w:rFonts w:ascii="Bookman Old Style" w:eastAsia="Times New Roman" w:hAnsi="Bookman Old Style" w:cs="Arial"/>
          <w:sz w:val="28"/>
          <w:szCs w:val="28"/>
          <w:lang w:eastAsia="es-ES"/>
        </w:rPr>
      </w:pPr>
    </w:p>
    <w:p w:rsidR="009A48B0" w:rsidRPr="009A48B0" w:rsidRDefault="009A48B0" w:rsidP="009A48B0">
      <w:pPr>
        <w:tabs>
          <w:tab w:val="left" w:pos="8640"/>
        </w:tabs>
        <w:spacing w:after="120" w:line="360" w:lineRule="auto"/>
        <w:ind w:right="23"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Sobre el concepto de las máximas de la experiencia, punto medular que se discute en la glosa examinada, conviene recordar que esta Corporación ha sostenido que:</w:t>
      </w:r>
    </w:p>
    <w:p w:rsidR="009A48B0" w:rsidRPr="009A48B0" w:rsidRDefault="009A48B0" w:rsidP="009A48B0">
      <w:pPr>
        <w:tabs>
          <w:tab w:val="left" w:pos="8640"/>
        </w:tabs>
        <w:spacing w:after="120"/>
        <w:ind w:right="23"/>
        <w:jc w:val="both"/>
        <w:rPr>
          <w:rFonts w:ascii="Bookman Old Style" w:eastAsia="Times New Roman" w:hAnsi="Bookman Old Style" w:cs="Times New Roman"/>
          <w:sz w:val="28"/>
          <w:szCs w:val="28"/>
          <w:lang w:eastAsia="es-ES"/>
        </w:rPr>
      </w:pPr>
    </w:p>
    <w:p w:rsidR="009A48B0" w:rsidRPr="009A48B0" w:rsidRDefault="009A48B0" w:rsidP="009A48B0">
      <w:pPr>
        <w:tabs>
          <w:tab w:val="left" w:pos="8640"/>
        </w:tabs>
        <w:spacing w:after="120" w:line="360" w:lineRule="auto"/>
        <w:ind w:left="709" w:right="23"/>
        <w:jc w:val="both"/>
        <w:rPr>
          <w:rFonts w:ascii="Bookman Old Style" w:eastAsia="Times New Roman" w:hAnsi="Bookman Old Style" w:cs="Times New Roman"/>
          <w:i/>
          <w:sz w:val="24"/>
          <w:szCs w:val="24"/>
          <w:lang w:eastAsia="es-ES"/>
        </w:rPr>
      </w:pPr>
      <w:r w:rsidRPr="009A48B0">
        <w:rPr>
          <w:rFonts w:ascii="Bookman Old Style" w:eastAsia="Times New Roman" w:hAnsi="Bookman Old Style" w:cs="Times New Roman"/>
          <w:i/>
          <w:sz w:val="24"/>
          <w:szCs w:val="24"/>
          <w:lang w:eastAsia="es-ES"/>
        </w:rPr>
        <w:t xml:space="preserve">En su carácter de tesis hipotéticas por su contenido, de las cuales se esperan que produzcan consecuencias en presencia de determinados presupuestos, se construyen sobre hechos y no sobre juicios sensoriales, cuya cualidad es su repetición frente a los mismos fenómenos bajo determinadas condiciones </w:t>
      </w:r>
      <w:r w:rsidRPr="009A48B0">
        <w:rPr>
          <w:rFonts w:ascii="Bookman Old Style" w:eastAsia="Times New Roman" w:hAnsi="Bookman Old Style" w:cs="Times New Roman"/>
          <w:sz w:val="24"/>
          <w:szCs w:val="24"/>
          <w:lang w:eastAsia="es-ES"/>
        </w:rPr>
        <w:t>(CSJ, SP, 21 Jul. 2004, Rad. 17712).</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r>
    </w:p>
    <w:p w:rsidR="009A48B0" w:rsidRPr="009A48B0" w:rsidRDefault="009A48B0" w:rsidP="009A48B0">
      <w:pPr>
        <w:spacing w:line="360" w:lineRule="auto"/>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ab/>
        <w:t>De otro lado, en cuanto al contenido y alcance de las reglas de la experiencia, la Sala ha señalado:</w:t>
      </w:r>
    </w:p>
    <w:p w:rsidR="009A48B0" w:rsidRPr="009A48B0" w:rsidRDefault="009A48B0" w:rsidP="009A48B0">
      <w:pPr>
        <w:spacing w:line="360" w:lineRule="auto"/>
        <w:jc w:val="both"/>
        <w:rPr>
          <w:rFonts w:ascii="Bookman Old Style" w:eastAsia="Times New Roman" w:hAnsi="Bookman Old Style" w:cs="Arial"/>
          <w:sz w:val="28"/>
          <w:szCs w:val="28"/>
          <w:lang w:eastAsia="es-ES"/>
        </w:rPr>
      </w:pPr>
    </w:p>
    <w:p w:rsidR="009A48B0" w:rsidRPr="009A48B0" w:rsidRDefault="009A48B0" w:rsidP="009A48B0">
      <w:pPr>
        <w:spacing w:line="360" w:lineRule="auto"/>
        <w:ind w:left="709"/>
        <w:jc w:val="both"/>
        <w:rPr>
          <w:rFonts w:ascii="Bookman Old Style" w:eastAsia="Calibri" w:hAnsi="Bookman Old Style" w:cs="Times New Roman"/>
          <w:i/>
          <w:sz w:val="24"/>
          <w:szCs w:val="24"/>
        </w:rPr>
      </w:pPr>
      <w:r w:rsidRPr="009A48B0">
        <w:rPr>
          <w:rFonts w:ascii="Bookman Old Style" w:eastAsia="Calibri" w:hAnsi="Bookman Old Style" w:cs="Times New Roman"/>
          <w:i/>
          <w:sz w:val="24"/>
          <w:szCs w:val="24"/>
        </w:rPr>
        <w:t>Ahora bien, la experiencia es una forma específica de conocimiento que se origina por la recepción inmediata de una impresión. Es experiencia todo lo que llega o se percibe a través de los sentidos, lo cual supone que lo experimentado no sea un fenómeno transitorio, sino un hecho que amplía y enriquece el pensamiento de manera estable.</w:t>
      </w:r>
    </w:p>
    <w:p w:rsidR="009A48B0" w:rsidRPr="009A48B0" w:rsidRDefault="009A48B0" w:rsidP="009A48B0">
      <w:pPr>
        <w:spacing w:line="360" w:lineRule="auto"/>
        <w:ind w:left="709"/>
        <w:jc w:val="both"/>
        <w:rPr>
          <w:rFonts w:ascii="Bookman Old Style" w:eastAsia="Calibri" w:hAnsi="Bookman Old Style" w:cs="Times New Roman"/>
          <w:i/>
          <w:sz w:val="24"/>
          <w:szCs w:val="24"/>
        </w:rPr>
      </w:pPr>
    </w:p>
    <w:p w:rsidR="009A48B0" w:rsidRPr="009A48B0" w:rsidRDefault="009A48B0" w:rsidP="009A48B0">
      <w:pPr>
        <w:spacing w:line="360" w:lineRule="auto"/>
        <w:ind w:left="709"/>
        <w:jc w:val="both"/>
        <w:rPr>
          <w:rFonts w:ascii="Bookman Old Style" w:eastAsia="Calibri" w:hAnsi="Bookman Old Style" w:cs="Times New Roman"/>
          <w:i/>
          <w:sz w:val="24"/>
          <w:szCs w:val="24"/>
        </w:rPr>
      </w:pPr>
      <w:r w:rsidRPr="009A48B0">
        <w:rPr>
          <w:rFonts w:ascii="Bookman Old Style" w:eastAsia="Calibri" w:hAnsi="Bookman Old Style" w:cs="Times New Roman"/>
          <w:i/>
          <w:sz w:val="24"/>
          <w:szCs w:val="24"/>
        </w:rPr>
        <w:lastRenderedPageBreak/>
        <w:t>Del mismo modo, si se entiende la experiencia como el conjunto de sensaciones a las que se reducen todas las ideas o pensamientos de la mente, o bien, en un segundo sentido, que versa sobre el pasado, el conjunto de las percepciones habituales que tienen su origen en la costumbre; la base de todo conocimiento corresponderá y habrá de ser vertido en dos tipos de juicios, las cuestiones de hecho, que versan sobre acontecimientos existentes y que son conocidos a través de la experiencia, y las cuestiones de sentido, que son reflexiones y análisis sobre el significado que se da a los hechos.</w:t>
      </w:r>
    </w:p>
    <w:p w:rsidR="009A48B0" w:rsidRPr="009A48B0" w:rsidRDefault="009A48B0" w:rsidP="009A48B0">
      <w:pPr>
        <w:spacing w:line="360" w:lineRule="auto"/>
        <w:ind w:left="283"/>
        <w:jc w:val="both"/>
        <w:rPr>
          <w:rFonts w:ascii="Bookman Old Style" w:eastAsia="Calibri" w:hAnsi="Bookman Old Style" w:cs="Times New Roman"/>
          <w:i/>
          <w:sz w:val="24"/>
          <w:szCs w:val="24"/>
        </w:rPr>
      </w:pPr>
    </w:p>
    <w:p w:rsidR="009A48B0" w:rsidRPr="009A48B0" w:rsidRDefault="009A48B0" w:rsidP="009A48B0">
      <w:pPr>
        <w:spacing w:line="360" w:lineRule="auto"/>
        <w:ind w:left="709"/>
        <w:jc w:val="both"/>
        <w:rPr>
          <w:rFonts w:ascii="Bookman Old Style" w:eastAsia="Calibri" w:hAnsi="Bookman Old Style" w:cs="Times New Roman"/>
          <w:i/>
          <w:sz w:val="24"/>
          <w:szCs w:val="24"/>
        </w:rPr>
      </w:pPr>
      <w:r w:rsidRPr="009A48B0">
        <w:rPr>
          <w:rFonts w:ascii="Bookman Old Style" w:eastAsia="Calibri" w:hAnsi="Bookman Old Style" w:cs="Times New Roman"/>
          <w:i/>
          <w:sz w:val="24"/>
          <w:szCs w:val="24"/>
        </w:rPr>
        <w:t>Así, las proposiciones analíticas que dejan traslucir el conocimiento se reducen siempre a una generalización sobre lo aportado por la experiencia, entendida como el único criterio posible de verificación de un enunciado o de un conjunto de enunciados, elaboradas aquéllas desde una perspectiva de racionalidad que las apoya y que llevan a la fijación de unas reglas sobre la gnoseología, en cuanto el sujeto toma conciencia de lo que aprehende, y de la ontología, porque lo pone en contacto con el ser cuando exterioriza lo conocido.</w:t>
      </w:r>
    </w:p>
    <w:p w:rsidR="009A48B0" w:rsidRPr="009A48B0" w:rsidRDefault="009A48B0" w:rsidP="009A48B0">
      <w:pPr>
        <w:ind w:left="709"/>
        <w:jc w:val="both"/>
        <w:rPr>
          <w:rFonts w:ascii="Bookman Old Style" w:eastAsia="Calibri" w:hAnsi="Bookman Old Style" w:cs="Times New Roman"/>
          <w:i/>
          <w:sz w:val="24"/>
          <w:szCs w:val="24"/>
        </w:rPr>
      </w:pPr>
    </w:p>
    <w:p w:rsidR="009A48B0" w:rsidRPr="009A48B0" w:rsidRDefault="009A48B0" w:rsidP="009A48B0">
      <w:pPr>
        <w:spacing w:line="360" w:lineRule="auto"/>
        <w:ind w:left="709"/>
        <w:jc w:val="both"/>
        <w:rPr>
          <w:rFonts w:ascii="Bookman Old Style" w:eastAsia="Calibri" w:hAnsi="Bookman Old Style" w:cs="Times New Roman"/>
          <w:i/>
          <w:sz w:val="24"/>
          <w:szCs w:val="24"/>
        </w:rPr>
      </w:pPr>
      <w:r w:rsidRPr="009A48B0">
        <w:rPr>
          <w:rFonts w:ascii="Bookman Old Style" w:eastAsia="Calibri" w:hAnsi="Bookman Old Style" w:cs="Times New Roman"/>
          <w:i/>
          <w:sz w:val="24"/>
          <w:szCs w:val="24"/>
        </w:rPr>
        <w:t>(...)</w:t>
      </w:r>
    </w:p>
    <w:p w:rsidR="009A48B0" w:rsidRPr="009A48B0" w:rsidRDefault="009A48B0" w:rsidP="009A48B0">
      <w:pPr>
        <w:ind w:left="709"/>
        <w:jc w:val="both"/>
        <w:rPr>
          <w:rFonts w:ascii="Bookman Old Style" w:eastAsia="Calibri" w:hAnsi="Bookman Old Style" w:cs="Times New Roman"/>
          <w:i/>
          <w:sz w:val="24"/>
          <w:szCs w:val="24"/>
        </w:rPr>
      </w:pPr>
    </w:p>
    <w:p w:rsidR="009A48B0" w:rsidRPr="009A48B0" w:rsidRDefault="009A48B0" w:rsidP="009A48B0">
      <w:pPr>
        <w:spacing w:line="360" w:lineRule="auto"/>
        <w:ind w:left="709"/>
        <w:jc w:val="both"/>
        <w:rPr>
          <w:rFonts w:ascii="Bookman Old Style" w:eastAsia="Calibri" w:hAnsi="Bookman Old Style" w:cs="Times New Roman"/>
          <w:i/>
          <w:sz w:val="24"/>
          <w:szCs w:val="24"/>
        </w:rPr>
      </w:pPr>
      <w:r w:rsidRPr="009A48B0">
        <w:rPr>
          <w:rFonts w:ascii="Bookman Old Style" w:eastAsia="Calibri" w:hAnsi="Bookman Old Style" w:cs="Times New Roman"/>
          <w:i/>
          <w:sz w:val="24"/>
          <w:szCs w:val="24"/>
        </w:rPr>
        <w:t xml:space="preserve">Atrás se dijo que la experiencia forma conocimiento y que los enunciados basados en ésta conllevan generalizaciones, las cuales deben ser expresadas en términos racionales para fijar ciertas reglas con pretensión de universalidad, por cuanto, se agrega, comunican determinado grado de validez y </w:t>
      </w:r>
      <w:proofErr w:type="spellStart"/>
      <w:r w:rsidRPr="009A48B0">
        <w:rPr>
          <w:rFonts w:ascii="Bookman Old Style" w:eastAsia="Calibri" w:hAnsi="Bookman Old Style" w:cs="Times New Roman"/>
          <w:i/>
          <w:sz w:val="24"/>
          <w:szCs w:val="24"/>
        </w:rPr>
        <w:t>facticidad</w:t>
      </w:r>
      <w:proofErr w:type="spellEnd"/>
      <w:r w:rsidRPr="009A48B0">
        <w:rPr>
          <w:rFonts w:ascii="Bookman Old Style" w:eastAsia="Calibri" w:hAnsi="Bookman Old Style" w:cs="Times New Roman"/>
          <w:i/>
          <w:sz w:val="24"/>
          <w:szCs w:val="24"/>
        </w:rPr>
        <w:t>, en un contexto socio histórico específico.</w:t>
      </w:r>
    </w:p>
    <w:p w:rsidR="009A48B0" w:rsidRPr="009A48B0" w:rsidRDefault="009A48B0" w:rsidP="009A48B0">
      <w:pPr>
        <w:spacing w:line="360" w:lineRule="auto"/>
        <w:ind w:left="283"/>
        <w:jc w:val="both"/>
        <w:rPr>
          <w:rFonts w:ascii="Bookman Old Style" w:eastAsia="Calibri" w:hAnsi="Bookman Old Style" w:cs="Times New Roman"/>
          <w:i/>
          <w:sz w:val="24"/>
          <w:szCs w:val="24"/>
        </w:rPr>
      </w:pPr>
    </w:p>
    <w:p w:rsidR="009A48B0" w:rsidRPr="009A48B0" w:rsidRDefault="009A48B0" w:rsidP="009A48B0">
      <w:pPr>
        <w:spacing w:line="360" w:lineRule="auto"/>
        <w:ind w:left="709"/>
        <w:jc w:val="both"/>
        <w:rPr>
          <w:rFonts w:ascii="Bookman Old Style" w:eastAsia="Calibri" w:hAnsi="Bookman Old Style" w:cs="Times New Roman"/>
          <w:i/>
          <w:sz w:val="24"/>
          <w:szCs w:val="24"/>
        </w:rPr>
      </w:pPr>
      <w:r w:rsidRPr="009A48B0">
        <w:rPr>
          <w:rFonts w:ascii="Bookman Old Style" w:eastAsia="Calibri" w:hAnsi="Bookman Old Style" w:cs="Times New Roman"/>
          <w:i/>
          <w:sz w:val="24"/>
          <w:szCs w:val="24"/>
        </w:rPr>
        <w:t xml:space="preserve">En ese sentido, para que ofrezca fiabilidad una premisa elaborada a partir de un dato o regla de la experiencia, ha de ser expuesta, a modo de operador lógico, así: </w:t>
      </w:r>
      <w:r w:rsidRPr="009A48B0">
        <w:rPr>
          <w:rFonts w:ascii="Bookman Old Style" w:eastAsia="Calibri" w:hAnsi="Bookman Old Style" w:cs="Times New Roman"/>
          <w:i/>
          <w:sz w:val="24"/>
          <w:szCs w:val="24"/>
          <w:u w:val="single"/>
        </w:rPr>
        <w:t>siempre o casi siempre que se da A, entonces sucede B</w:t>
      </w:r>
      <w:r w:rsidRPr="009A48B0">
        <w:rPr>
          <w:rFonts w:ascii="Bookman Old Style" w:eastAsia="Calibri" w:hAnsi="Bookman Old Style" w:cs="Times New Roman"/>
          <w:i/>
          <w:sz w:val="24"/>
          <w:szCs w:val="24"/>
        </w:rPr>
        <w:t>.</w:t>
      </w:r>
      <w:r w:rsidRPr="009A48B0">
        <w:rPr>
          <w:rFonts w:ascii="Bookman Old Style" w:eastAsia="Calibri" w:hAnsi="Bookman Old Style" w:cs="Arial"/>
          <w:sz w:val="24"/>
          <w:szCs w:val="24"/>
        </w:rPr>
        <w:t xml:space="preserve"> (subraya fuera de texto) (CSJ SP, 21 Nov. 2002, Rad. 16472)</w:t>
      </w: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lastRenderedPageBreak/>
        <w:tab/>
        <w:t xml:space="preserve">Cabe anotar que el cuestionamiento del impugnante a la sentencia del Tribunal por la falta de aplicación de las que en su opinión considera máximas de la experiencia, se queda en el mero enunciado, puesto que conforme a las reglas interpretativas señaladas en las anteriores citas jurisprudenciales, como no toda proposición tiene esa connotación, era su deber explicar </w:t>
      </w:r>
      <w:r w:rsidRPr="009A48B0">
        <w:rPr>
          <w:rFonts w:ascii="Bookman Old Style" w:eastAsia="Times New Roman" w:hAnsi="Bookman Old Style" w:cs="Arial"/>
          <w:sz w:val="28"/>
          <w:szCs w:val="28"/>
        </w:rPr>
        <w:t xml:space="preserve">por qué las que edifica en orden a sustentar el reproche han de ser reconocidas como tales, valga decir, acreditar que reúnen los requisitos de universalidad, permanencia y reiteración, y cómo resultaban aplicables al caso concreto, pero no lo hizo (CSJ AP, 26 feb. 2014, rad. 43144 y CSJ AP, 2 abr. 2014, rad. 41338; entre otras).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 xml:space="preserve">Además, el </w:t>
      </w:r>
      <w:proofErr w:type="spellStart"/>
      <w:r w:rsidRPr="009A48B0">
        <w:rPr>
          <w:rFonts w:ascii="Bookman Old Style" w:eastAsia="Times New Roman" w:hAnsi="Bookman Old Style" w:cs="Times New Roman"/>
          <w:sz w:val="28"/>
          <w:szCs w:val="28"/>
        </w:rPr>
        <w:t>casacionista</w:t>
      </w:r>
      <w:proofErr w:type="spellEnd"/>
      <w:r w:rsidRPr="009A48B0">
        <w:rPr>
          <w:rFonts w:ascii="Bookman Old Style" w:eastAsia="Times New Roman" w:hAnsi="Bookman Old Style" w:cs="Times New Roman"/>
          <w:sz w:val="28"/>
          <w:szCs w:val="28"/>
        </w:rPr>
        <w:t xml:space="preserve"> no plantea la trasgresión de reglas empíricas que se correspondan con la fórmula lógica «</w:t>
      </w:r>
      <w:r w:rsidRPr="009A48B0">
        <w:rPr>
          <w:rFonts w:ascii="Bookman Old Style" w:eastAsia="Times New Roman" w:hAnsi="Bookman Old Style" w:cs="Times New Roman"/>
          <w:i/>
          <w:sz w:val="28"/>
          <w:szCs w:val="28"/>
        </w:rPr>
        <w:t>siempre o casi siempre que se da A, entonces sucede B</w:t>
      </w:r>
      <w:r w:rsidRPr="009A48B0">
        <w:rPr>
          <w:rFonts w:ascii="Bookman Old Style" w:eastAsia="Times New Roman" w:hAnsi="Bookman Old Style" w:cs="Times New Roman"/>
          <w:sz w:val="28"/>
          <w:szCs w:val="28"/>
        </w:rPr>
        <w:t>», tal como acontece con las que enuncia en relación con la edad del abusador y de la víctima; o aquella sobre la ausencia de parentesco o afinidad del acusado con la menor K.T.B.S.; o la sustentada en el que denomina «</w:t>
      </w:r>
      <w:r w:rsidRPr="009A48B0">
        <w:rPr>
          <w:rFonts w:ascii="Bookman Old Style" w:eastAsia="Times New Roman" w:hAnsi="Bookman Old Style" w:cs="Times New Roman"/>
          <w:i/>
          <w:sz w:val="28"/>
          <w:szCs w:val="28"/>
        </w:rPr>
        <w:t>principio de confianza</w:t>
      </w:r>
      <w:r w:rsidRPr="009A48B0">
        <w:rPr>
          <w:rFonts w:ascii="Bookman Old Style" w:eastAsia="Times New Roman" w:hAnsi="Bookman Old Style" w:cs="Times New Roman"/>
          <w:sz w:val="28"/>
          <w:szCs w:val="28"/>
        </w:rPr>
        <w:t xml:space="preserve">», fundado en que la madre de la mencionada niña se vio obligada a confiar al procesado su transporte de la casa al colegio y viceversa; mucho menos la referida a la invitación a comer que hizo el incriminado a la menor supuestamente para ganarse su confianza o la que deriva de las manifestaciones del defensor del encartado </w:t>
      </w:r>
      <w:r w:rsidR="00C70559">
        <w:rPr>
          <w:rFonts w:ascii="Bookman Old Style" w:eastAsia="Times New Roman" w:hAnsi="Bookman Old Style" w:cs="Times New Roman"/>
          <w:smallCaps/>
          <w:sz w:val="28"/>
          <w:szCs w:val="28"/>
        </w:rPr>
        <w:t>JDO</w:t>
      </w:r>
      <w:r w:rsidRPr="009A48B0">
        <w:rPr>
          <w:rFonts w:ascii="Bookman Old Style" w:eastAsia="Times New Roman" w:hAnsi="Bookman Old Style" w:cs="Times New Roman"/>
          <w:sz w:val="28"/>
          <w:szCs w:val="28"/>
        </w:rPr>
        <w:t>, cuando en su alegato final expuso que su representado «</w:t>
      </w:r>
      <w:r w:rsidRPr="009A48B0">
        <w:rPr>
          <w:rFonts w:ascii="Bookman Old Style" w:eastAsia="Times New Roman" w:hAnsi="Bookman Old Style" w:cs="Times New Roman"/>
          <w:i/>
          <w:sz w:val="28"/>
          <w:szCs w:val="28"/>
        </w:rPr>
        <w:t>aceptaba que…con su obrar [incurrió en] una injuria por vías de hecho</w:t>
      </w:r>
      <w:r w:rsidRPr="009A48B0">
        <w:rPr>
          <w:rFonts w:ascii="Bookman Old Style" w:eastAsia="Times New Roman" w:hAnsi="Bookman Old Style" w:cs="Times New Roman"/>
          <w:sz w:val="28"/>
          <w:szCs w:val="28"/>
        </w:rPr>
        <w:t>».</w:t>
      </w:r>
    </w:p>
    <w:p w:rsidR="009A48B0" w:rsidRPr="009A48B0" w:rsidRDefault="009A48B0" w:rsidP="009A48B0">
      <w:pPr>
        <w:spacing w:line="360" w:lineRule="auto"/>
        <w:jc w:val="both"/>
        <w:rPr>
          <w:rFonts w:ascii="Bookman Old Style" w:eastAsia="Times New Roman" w:hAnsi="Bookman Old Style" w:cs="Arial"/>
          <w:sz w:val="28"/>
          <w:szCs w:val="28"/>
        </w:rPr>
      </w:pPr>
      <w:r w:rsidRPr="009A48B0">
        <w:rPr>
          <w:rFonts w:ascii="Bookman Old Style" w:eastAsia="Times New Roman" w:hAnsi="Bookman Old Style" w:cs="Times New Roman"/>
          <w:sz w:val="28"/>
          <w:szCs w:val="28"/>
        </w:rPr>
        <w:lastRenderedPageBreak/>
        <w:tab/>
        <w:t>En cuanto a las demás «</w:t>
      </w:r>
      <w:r w:rsidRPr="009A48B0">
        <w:rPr>
          <w:rFonts w:ascii="Bookman Old Style" w:eastAsia="Times New Roman" w:hAnsi="Bookman Old Style" w:cs="Times New Roman"/>
          <w:i/>
          <w:sz w:val="28"/>
          <w:szCs w:val="28"/>
        </w:rPr>
        <w:t>reglas de la experiencia</w:t>
      </w:r>
      <w:r w:rsidRPr="009A48B0">
        <w:rPr>
          <w:rFonts w:ascii="Bookman Old Style" w:eastAsia="Times New Roman" w:hAnsi="Bookman Old Style" w:cs="Times New Roman"/>
          <w:sz w:val="28"/>
          <w:szCs w:val="28"/>
        </w:rPr>
        <w:t>» que se edifican en la demanda, concretamente la relacionada con los «</w:t>
      </w:r>
      <w:r w:rsidRPr="009A48B0">
        <w:rPr>
          <w:rFonts w:ascii="Bookman Old Style" w:eastAsia="Times New Roman" w:hAnsi="Bookman Old Style" w:cs="Times New Roman"/>
          <w:i/>
          <w:sz w:val="28"/>
          <w:szCs w:val="28"/>
        </w:rPr>
        <w:t>tocamientos</w:t>
      </w:r>
      <w:r w:rsidRPr="009A48B0">
        <w:rPr>
          <w:rFonts w:ascii="Bookman Old Style" w:eastAsia="Times New Roman" w:hAnsi="Bookman Old Style" w:cs="Times New Roman"/>
          <w:sz w:val="28"/>
          <w:szCs w:val="28"/>
        </w:rPr>
        <w:t>» de las piernas de K.T.B.S. por parte del acusado, ocurrido en ocasiones previas al suceso juzgado; el concepto que la niña en mención tiene del procesado como un «</w:t>
      </w:r>
      <w:r w:rsidRPr="009A48B0">
        <w:rPr>
          <w:rFonts w:ascii="Bookman Old Style" w:eastAsia="Times New Roman" w:hAnsi="Bookman Old Style" w:cs="Times New Roman"/>
          <w:i/>
          <w:sz w:val="28"/>
          <w:szCs w:val="28"/>
        </w:rPr>
        <w:t>señor malo</w:t>
      </w:r>
      <w:r w:rsidRPr="009A48B0">
        <w:rPr>
          <w:rFonts w:ascii="Bookman Old Style" w:eastAsia="Times New Roman" w:hAnsi="Bookman Old Style" w:cs="Times New Roman"/>
          <w:sz w:val="28"/>
          <w:szCs w:val="28"/>
        </w:rPr>
        <w:t xml:space="preserve">»; y, finalmente, la petición que éste hizo a la menor para que no contara a nadie lo sucedido; encuentra la Sala que, además de no responder a la proposición lógica antes enunciada, están sustentadas en la percepción particular </w:t>
      </w:r>
      <w:r w:rsidRPr="009A48B0">
        <w:rPr>
          <w:rFonts w:ascii="Bookman Old Style" w:eastAsia="Times New Roman" w:hAnsi="Bookman Old Style" w:cs="Arial"/>
          <w:sz w:val="28"/>
          <w:szCs w:val="28"/>
        </w:rPr>
        <w:t>de quien las formula o surgen a partir de meras especulaciones, con lo cual distan harto de ser máximas empíricas con vocación de universalidad, permanencia y reiteración  (CSJ AP, 30 Jun. 2004, Rad. 21321).</w:t>
      </w:r>
    </w:p>
    <w:p w:rsidR="009A48B0" w:rsidRPr="009A48B0" w:rsidRDefault="009A48B0" w:rsidP="009A48B0">
      <w:pPr>
        <w:tabs>
          <w:tab w:val="left" w:pos="8640"/>
        </w:tabs>
        <w:spacing w:after="120" w:line="360" w:lineRule="auto"/>
        <w:ind w:right="23"/>
        <w:jc w:val="both"/>
        <w:rPr>
          <w:rFonts w:ascii="Bookman Old Style" w:eastAsia="Times New Roman" w:hAnsi="Bookman Old Style" w:cs="Arial"/>
          <w:sz w:val="28"/>
          <w:szCs w:val="28"/>
          <w:lang w:eastAsia="es-ES"/>
        </w:rPr>
      </w:pPr>
    </w:p>
    <w:p w:rsidR="009A48B0" w:rsidRPr="009A48B0" w:rsidRDefault="009A48B0" w:rsidP="009A48B0">
      <w:pPr>
        <w:tabs>
          <w:tab w:val="left" w:pos="8640"/>
        </w:tabs>
        <w:spacing w:after="120" w:line="360" w:lineRule="auto"/>
        <w:ind w:right="23"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sz w:val="28"/>
          <w:szCs w:val="28"/>
          <w:lang w:eastAsia="es-ES"/>
        </w:rPr>
        <w:t>En efecto, el actor conjetura que las ocasiones –</w:t>
      </w:r>
      <w:r w:rsidRPr="009A48B0">
        <w:rPr>
          <w:rFonts w:ascii="Bookman Old Style" w:eastAsia="Times New Roman" w:hAnsi="Bookman Old Style" w:cs="Arial"/>
          <w:sz w:val="24"/>
          <w:szCs w:val="24"/>
          <w:lang w:eastAsia="es-ES"/>
        </w:rPr>
        <w:t>tres</w:t>
      </w:r>
      <w:r w:rsidRPr="009A48B0">
        <w:rPr>
          <w:rFonts w:ascii="Bookman Old Style" w:eastAsia="Times New Roman" w:hAnsi="Bookman Old Style" w:cs="Arial"/>
          <w:sz w:val="28"/>
          <w:szCs w:val="28"/>
          <w:lang w:eastAsia="es-ES"/>
        </w:rPr>
        <w:t xml:space="preserve">– en que el incriminado </w:t>
      </w:r>
      <w:r w:rsidR="00C70559">
        <w:rPr>
          <w:rFonts w:ascii="Bookman Old Style" w:eastAsia="Times New Roman" w:hAnsi="Bookman Old Style" w:cs="Times New Roman"/>
          <w:smallCaps/>
          <w:sz w:val="28"/>
          <w:szCs w:val="28"/>
          <w:lang w:eastAsia="es-ES"/>
        </w:rPr>
        <w:t>JDO</w:t>
      </w:r>
      <w:r w:rsidRPr="009A48B0">
        <w:rPr>
          <w:rFonts w:ascii="Bookman Old Style" w:eastAsia="Times New Roman" w:hAnsi="Bookman Old Style" w:cs="Arial"/>
          <w:smallCaps/>
          <w:sz w:val="28"/>
          <w:szCs w:val="28"/>
          <w:lang w:eastAsia="es-ES"/>
        </w:rPr>
        <w:t xml:space="preserve"> </w:t>
      </w:r>
      <w:r w:rsidRPr="009A48B0">
        <w:rPr>
          <w:rFonts w:ascii="Bookman Old Style" w:eastAsia="Times New Roman" w:hAnsi="Bookman Old Style" w:cs="Arial"/>
          <w:sz w:val="28"/>
          <w:szCs w:val="28"/>
          <w:lang w:eastAsia="es-ES"/>
        </w:rPr>
        <w:t>le tocó las piernas a la niña K.T.B.S. mientras la transportaba en la moto, tienen la connotación de «</w:t>
      </w:r>
      <w:r w:rsidRPr="009A48B0">
        <w:rPr>
          <w:rFonts w:ascii="Bookman Old Style" w:eastAsia="Times New Roman" w:hAnsi="Bookman Old Style" w:cs="Arial"/>
          <w:i/>
          <w:sz w:val="28"/>
          <w:szCs w:val="28"/>
          <w:lang w:eastAsia="es-ES"/>
        </w:rPr>
        <w:t>actos libidinosos</w:t>
      </w:r>
      <w:r w:rsidRPr="009A48B0">
        <w:rPr>
          <w:rFonts w:ascii="Bookman Old Style" w:eastAsia="Times New Roman" w:hAnsi="Bookman Old Style" w:cs="Arial"/>
          <w:sz w:val="28"/>
          <w:szCs w:val="28"/>
          <w:lang w:eastAsia="es-ES"/>
        </w:rPr>
        <w:t xml:space="preserve">» que, según afirma, por regla de la experiencia, que no valida bajo la fórmula lógica expresada </w:t>
      </w:r>
      <w:r w:rsidRPr="009A48B0">
        <w:rPr>
          <w:rFonts w:ascii="Bookman Old Style" w:eastAsia="Times New Roman" w:hAnsi="Bookman Old Style" w:cs="Arial"/>
          <w:i/>
          <w:sz w:val="28"/>
          <w:szCs w:val="28"/>
          <w:lang w:eastAsia="es-ES"/>
        </w:rPr>
        <w:t>ut supra</w:t>
      </w:r>
      <w:r w:rsidRPr="009A48B0">
        <w:rPr>
          <w:rFonts w:ascii="Bookman Old Style" w:eastAsia="Times New Roman" w:hAnsi="Bookman Old Style" w:cs="Arial"/>
          <w:sz w:val="28"/>
          <w:szCs w:val="28"/>
          <w:lang w:eastAsia="es-ES"/>
        </w:rPr>
        <w:t>, se deben entender como las acciones previas que todo abusador sexual realiza para «</w:t>
      </w:r>
      <w:r w:rsidRPr="009A48B0">
        <w:rPr>
          <w:rFonts w:ascii="Bookman Old Style" w:eastAsia="Times New Roman" w:hAnsi="Bookman Old Style" w:cs="Arial"/>
          <w:i/>
          <w:sz w:val="28"/>
          <w:szCs w:val="28"/>
          <w:lang w:eastAsia="es-ES"/>
        </w:rPr>
        <w:t>ir conduciendo a su víctima al hecho pretendido</w:t>
      </w:r>
      <w:r w:rsidRPr="009A48B0">
        <w:rPr>
          <w:rFonts w:ascii="Bookman Old Style" w:eastAsia="Times New Roman" w:hAnsi="Bookman Old Style" w:cs="Arial"/>
          <w:sz w:val="28"/>
          <w:szCs w:val="28"/>
          <w:lang w:eastAsia="es-ES"/>
        </w:rPr>
        <w:t xml:space="preserve">», pero no explica por qué ello sucede siempre o casi siempre, de manera uniforme y reiterativa en el tipo de situaciones descritas, soslayando además el contexto en que se produjeron dichos tocamientos, respecto a lo cual la citada menor manifestó en el juicio oral que ello sucedió en algunas ocasiones en que el procesado le indagaba sobre si tenía frío en las piernas.   </w:t>
      </w: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lastRenderedPageBreak/>
        <w:tab/>
        <w:t>Tampoco elucida el demandante cómo la percepción de «</w:t>
      </w:r>
      <w:r w:rsidRPr="009A48B0">
        <w:rPr>
          <w:rFonts w:ascii="Bookman Old Style" w:eastAsia="Times New Roman" w:hAnsi="Bookman Old Style" w:cs="Times New Roman"/>
          <w:i/>
          <w:sz w:val="28"/>
          <w:szCs w:val="28"/>
        </w:rPr>
        <w:t>señor malo</w:t>
      </w:r>
      <w:r w:rsidRPr="009A48B0">
        <w:rPr>
          <w:rFonts w:ascii="Bookman Old Style" w:eastAsia="Times New Roman" w:hAnsi="Bookman Old Style" w:cs="Times New Roman"/>
          <w:sz w:val="28"/>
          <w:szCs w:val="28"/>
        </w:rPr>
        <w:t xml:space="preserve">» que la niña K.T.B.S. tiene del acusado </w:t>
      </w:r>
      <w:r w:rsidR="00C70559">
        <w:rPr>
          <w:rFonts w:ascii="Bookman Old Style" w:eastAsia="Times New Roman" w:hAnsi="Bookman Old Style" w:cs="Times New Roman"/>
          <w:smallCaps/>
          <w:sz w:val="28"/>
          <w:szCs w:val="28"/>
        </w:rPr>
        <w:t>JDO</w:t>
      </w:r>
      <w:r w:rsidRPr="009A48B0">
        <w:rPr>
          <w:rFonts w:ascii="Bookman Old Style" w:eastAsia="Times New Roman" w:hAnsi="Bookman Old Style" w:cs="Times New Roman"/>
          <w:smallCaps/>
          <w:sz w:val="28"/>
          <w:szCs w:val="28"/>
        </w:rPr>
        <w:t>,</w:t>
      </w:r>
      <w:r w:rsidRPr="009A48B0">
        <w:rPr>
          <w:rFonts w:ascii="Bookman Old Style" w:eastAsia="Times New Roman" w:hAnsi="Bookman Old Style" w:cs="Times New Roman"/>
          <w:sz w:val="28"/>
          <w:szCs w:val="28"/>
        </w:rPr>
        <w:t xml:space="preserve"> que podría formularse bajo el enunciado «</w:t>
      </w:r>
      <w:r w:rsidRPr="009A48B0">
        <w:rPr>
          <w:rFonts w:ascii="Bookman Old Style" w:eastAsia="Times New Roman" w:hAnsi="Bookman Old Style" w:cs="Times New Roman"/>
          <w:i/>
          <w:sz w:val="28"/>
          <w:szCs w:val="28"/>
        </w:rPr>
        <w:t>siempre o casi siempre que un menor de edad abusado sexualmente tiene un concepto negativo de una persona, es porque en su fuero interno se sintió agredido</w:t>
      </w:r>
      <w:r w:rsidRPr="009A48B0">
        <w:rPr>
          <w:rFonts w:ascii="Bookman Old Style" w:eastAsia="Times New Roman" w:hAnsi="Bookman Old Style" w:cs="Times New Roman"/>
          <w:sz w:val="28"/>
          <w:szCs w:val="28"/>
        </w:rPr>
        <w:t xml:space="preserve">», es una máxima empírica y cómo aplica al caso concreto, mucho menos cuál es su trascendencia en la determinación de la eficacia demostrativa de su testimonio.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Equivocación argumental que replica el censor cuando propone como regla de la experiencia aquella según la cual el comportamiento «</w:t>
      </w:r>
      <w:r w:rsidRPr="009A48B0">
        <w:rPr>
          <w:rFonts w:ascii="Bookman Old Style" w:eastAsia="Times New Roman" w:hAnsi="Bookman Old Style" w:cs="Times New Roman"/>
          <w:i/>
          <w:sz w:val="28"/>
          <w:szCs w:val="28"/>
        </w:rPr>
        <w:t>sigiloso</w:t>
      </w:r>
      <w:r w:rsidRPr="009A48B0">
        <w:rPr>
          <w:rFonts w:ascii="Bookman Old Style" w:eastAsia="Times New Roman" w:hAnsi="Bookman Old Style" w:cs="Times New Roman"/>
          <w:sz w:val="28"/>
          <w:szCs w:val="28"/>
        </w:rPr>
        <w:t xml:space="preserve">» del encartado, quien le pidió a la niña K.T.B.S. no contar a nadie lo ocurrido, es típico del abusador sexual, pero de nuevo omite exponer con el rigor dialéctico que exige un reproche de ese jaez, por qué debe admitirse como tal un enunciado que solo expresa su opinión personal y que edifica para el caso particular, sin pretensiones de universalidad, permanencia y reiteración.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 xml:space="preserve">Por manera que ni el recurrente demuestra, ni la Corte avizora, que la valoración probatoria realizada por el sentenciador de segundo grado se ofrezca caprichosa o absurda y, por el contrario, asoma respetuosa de los postulados de la sana crítica, lo cual conlleva a que se mantenga incólume la dual presunción de legalidad y acierto que cobija el fallo confutado.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 xml:space="preserve">En ese orden, se inadmitirá el cargo. </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lastRenderedPageBreak/>
        <w:tab/>
      </w: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b/>
          <w:sz w:val="28"/>
          <w:szCs w:val="28"/>
        </w:rPr>
        <w:t>3.</w:t>
      </w:r>
      <w:r w:rsidRPr="009A48B0">
        <w:rPr>
          <w:rFonts w:ascii="Bookman Old Style" w:eastAsia="Times New Roman" w:hAnsi="Bookman Old Style" w:cs="Times New Roman"/>
          <w:sz w:val="28"/>
          <w:szCs w:val="28"/>
        </w:rPr>
        <w:t xml:space="preserve"> En conclusión, las protuberantes falencias de lógica y adecuada fundamentación advertidas en la demanda, aunado a la falta de demostración de las censuras propuestas, conducen a su inadmisión.</w:t>
      </w:r>
    </w:p>
    <w:p w:rsidR="009A48B0" w:rsidRPr="009A48B0" w:rsidRDefault="009A48B0" w:rsidP="009A48B0">
      <w:pPr>
        <w:spacing w:line="360" w:lineRule="auto"/>
        <w:jc w:val="both"/>
        <w:rPr>
          <w:rFonts w:ascii="Bookman Old Style" w:eastAsia="Times New Roman" w:hAnsi="Bookman Old Style" w:cs="Times New Roman"/>
          <w:b/>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b/>
          <w:sz w:val="28"/>
          <w:szCs w:val="28"/>
        </w:rPr>
        <w:tab/>
        <w:t xml:space="preserve">4. </w:t>
      </w:r>
      <w:r w:rsidRPr="009A48B0">
        <w:rPr>
          <w:rFonts w:ascii="Bookman Old Style" w:eastAsia="Times New Roman" w:hAnsi="Bookman Old Style" w:cs="Times New Roman"/>
          <w:sz w:val="28"/>
          <w:szCs w:val="28"/>
        </w:rPr>
        <w:t>Resta señalar que no se observa que con ocasión del fallo impugnado o dentro de la actuación se violaran derechos o garantías de los intervinientes, como para que tal circunstancia imponga superar los defectos del libelo en orden a decidir de fondo, según lo dispone el inciso 3° del artículo 184 de la Ley 906 de 2004.</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sz w:val="28"/>
          <w:szCs w:val="28"/>
        </w:rPr>
      </w:pPr>
      <w:r w:rsidRPr="009A48B0">
        <w:rPr>
          <w:rFonts w:ascii="Bookman Old Style" w:eastAsia="Times New Roman" w:hAnsi="Bookman Old Style" w:cs="Times New Roman"/>
          <w:sz w:val="28"/>
          <w:szCs w:val="28"/>
        </w:rPr>
        <w:tab/>
        <w:t>Contra esta decisión procede el mecanismo de insistencia, en los términos establecidos por la Sala (CSJ AP, 12 Dic. 2005, Rad. 24322).</w:t>
      </w:r>
    </w:p>
    <w:p w:rsidR="009A48B0" w:rsidRPr="009A48B0" w:rsidRDefault="009A48B0" w:rsidP="009A48B0">
      <w:pPr>
        <w:spacing w:line="360" w:lineRule="auto"/>
        <w:jc w:val="both"/>
        <w:rPr>
          <w:rFonts w:ascii="Bookman Old Style" w:eastAsia="Times New Roman" w:hAnsi="Bookman Old Style" w:cs="Times New Roman"/>
          <w:sz w:val="28"/>
          <w:szCs w:val="28"/>
        </w:rPr>
      </w:pPr>
    </w:p>
    <w:p w:rsidR="009A48B0" w:rsidRPr="009A48B0" w:rsidRDefault="009A48B0" w:rsidP="009A48B0">
      <w:pPr>
        <w:spacing w:line="360" w:lineRule="auto"/>
        <w:jc w:val="both"/>
        <w:rPr>
          <w:rFonts w:ascii="Bookman Old Style" w:eastAsia="Times New Roman" w:hAnsi="Bookman Old Style" w:cs="Times New Roman"/>
          <w:b/>
          <w:sz w:val="28"/>
          <w:szCs w:val="28"/>
        </w:rPr>
      </w:pPr>
    </w:p>
    <w:p w:rsidR="009A48B0" w:rsidRPr="009A48B0" w:rsidRDefault="009A48B0" w:rsidP="009A48B0">
      <w:pPr>
        <w:spacing w:line="360" w:lineRule="auto"/>
        <w:jc w:val="both"/>
        <w:rPr>
          <w:rFonts w:ascii="Bookman Old Style" w:eastAsia="Times New Roman" w:hAnsi="Bookman Old Style" w:cs="Times New Roman"/>
          <w:spacing w:val="-3"/>
          <w:sz w:val="28"/>
          <w:szCs w:val="28"/>
        </w:rPr>
      </w:pPr>
      <w:r w:rsidRPr="009A48B0">
        <w:rPr>
          <w:rFonts w:ascii="Bookman Old Style" w:eastAsia="Times New Roman" w:hAnsi="Bookman Old Style" w:cs="Times New Roman"/>
          <w:spacing w:val="-3"/>
          <w:sz w:val="28"/>
          <w:szCs w:val="28"/>
        </w:rPr>
        <w:tab/>
        <w:t xml:space="preserve">En mérito de lo expuesto, la </w:t>
      </w:r>
      <w:r w:rsidRPr="009A48B0">
        <w:rPr>
          <w:rFonts w:ascii="Bookman Old Style" w:eastAsia="Times New Roman" w:hAnsi="Bookman Old Style" w:cs="Times New Roman"/>
          <w:b/>
          <w:spacing w:val="-3"/>
          <w:sz w:val="28"/>
          <w:szCs w:val="28"/>
        </w:rPr>
        <w:t>CORTE SUPREMA DE JUSTICIA</w:t>
      </w:r>
      <w:r w:rsidRPr="009A48B0">
        <w:rPr>
          <w:rFonts w:ascii="Bookman Old Style" w:eastAsia="Times New Roman" w:hAnsi="Bookman Old Style" w:cs="Times New Roman"/>
          <w:spacing w:val="-3"/>
          <w:sz w:val="28"/>
          <w:szCs w:val="28"/>
        </w:rPr>
        <w:t xml:space="preserve">, </w:t>
      </w:r>
      <w:r w:rsidRPr="009A48B0">
        <w:rPr>
          <w:rFonts w:ascii="Bookman Old Style" w:eastAsia="Times New Roman" w:hAnsi="Bookman Old Style" w:cs="Times New Roman"/>
          <w:b/>
          <w:spacing w:val="-3"/>
          <w:sz w:val="28"/>
          <w:szCs w:val="28"/>
        </w:rPr>
        <w:t>SALA DE CASACIÓN PENAL</w:t>
      </w:r>
      <w:r w:rsidRPr="009A48B0">
        <w:rPr>
          <w:rFonts w:ascii="Bookman Old Style" w:eastAsia="Times New Roman" w:hAnsi="Bookman Old Style" w:cs="Times New Roman"/>
          <w:spacing w:val="-3"/>
          <w:sz w:val="28"/>
          <w:szCs w:val="28"/>
        </w:rPr>
        <w:t xml:space="preserve">, </w:t>
      </w:r>
    </w:p>
    <w:p w:rsidR="009A48B0" w:rsidRPr="009A48B0" w:rsidRDefault="009A48B0" w:rsidP="009A48B0">
      <w:pPr>
        <w:keepNext/>
        <w:tabs>
          <w:tab w:val="center" w:pos="3968"/>
          <w:tab w:val="left" w:pos="8789"/>
        </w:tabs>
        <w:suppressAutoHyphens/>
        <w:spacing w:line="360" w:lineRule="auto"/>
        <w:ind w:right="51"/>
        <w:jc w:val="both"/>
        <w:outlineLvl w:val="3"/>
        <w:rPr>
          <w:rFonts w:ascii="Bookman Old Style" w:eastAsia="Times New Roman" w:hAnsi="Bookman Old Style" w:cs="Arial"/>
          <w:b/>
          <w:spacing w:val="-3"/>
          <w:sz w:val="28"/>
          <w:szCs w:val="28"/>
          <w:lang w:eastAsia="es-ES"/>
        </w:rPr>
      </w:pPr>
    </w:p>
    <w:p w:rsidR="009A48B0" w:rsidRPr="009A48B0" w:rsidRDefault="009A48B0" w:rsidP="009A48B0">
      <w:pPr>
        <w:rPr>
          <w:rFonts w:ascii="Times New Roman" w:eastAsia="Times New Roman" w:hAnsi="Times New Roman" w:cs="Times New Roman"/>
          <w:sz w:val="24"/>
          <w:szCs w:val="24"/>
          <w:lang w:eastAsia="es-ES"/>
        </w:rPr>
      </w:pPr>
    </w:p>
    <w:p w:rsidR="009A48B0" w:rsidRPr="009A48B0" w:rsidRDefault="009A48B0" w:rsidP="009A48B0">
      <w:pPr>
        <w:keepNext/>
        <w:tabs>
          <w:tab w:val="center" w:pos="3968"/>
          <w:tab w:val="left" w:pos="8789"/>
        </w:tabs>
        <w:suppressAutoHyphens/>
        <w:spacing w:line="360" w:lineRule="auto"/>
        <w:ind w:right="51"/>
        <w:jc w:val="center"/>
        <w:outlineLvl w:val="3"/>
        <w:rPr>
          <w:rFonts w:ascii="Bookman Old Style" w:eastAsia="Times New Roman" w:hAnsi="Bookman Old Style" w:cs="Arial"/>
          <w:b/>
          <w:spacing w:val="-3"/>
          <w:sz w:val="28"/>
          <w:szCs w:val="28"/>
          <w:lang w:eastAsia="es-ES"/>
        </w:rPr>
      </w:pPr>
      <w:r w:rsidRPr="009A48B0">
        <w:rPr>
          <w:rFonts w:ascii="Bookman Old Style" w:eastAsia="Times New Roman" w:hAnsi="Bookman Old Style" w:cs="Arial"/>
          <w:b/>
          <w:spacing w:val="-3"/>
          <w:sz w:val="28"/>
          <w:szCs w:val="28"/>
          <w:lang w:eastAsia="es-ES"/>
        </w:rPr>
        <w:t>RESUELVE</w:t>
      </w:r>
    </w:p>
    <w:p w:rsidR="009A48B0" w:rsidRPr="009A48B0" w:rsidRDefault="009A48B0" w:rsidP="009A48B0">
      <w:pPr>
        <w:tabs>
          <w:tab w:val="left" w:pos="-720"/>
          <w:tab w:val="left" w:pos="8789"/>
        </w:tabs>
        <w:suppressAutoHyphens/>
        <w:spacing w:line="360" w:lineRule="auto"/>
        <w:ind w:right="51"/>
        <w:jc w:val="both"/>
        <w:rPr>
          <w:rFonts w:ascii="Bookman Old Style" w:eastAsia="Times New Roman" w:hAnsi="Bookman Old Style" w:cs="Arial"/>
          <w:spacing w:val="-3"/>
          <w:sz w:val="28"/>
          <w:szCs w:val="28"/>
          <w:lang w:val="es-ES_tradnl" w:eastAsia="es-ES"/>
        </w:rPr>
      </w:pPr>
    </w:p>
    <w:p w:rsidR="009A48B0" w:rsidRPr="009A48B0" w:rsidRDefault="009A48B0" w:rsidP="009A48B0">
      <w:pPr>
        <w:tabs>
          <w:tab w:val="left" w:pos="-720"/>
          <w:tab w:val="left" w:pos="8789"/>
        </w:tabs>
        <w:suppressAutoHyphens/>
        <w:spacing w:line="360" w:lineRule="auto"/>
        <w:ind w:right="51"/>
        <w:jc w:val="both"/>
        <w:rPr>
          <w:rFonts w:ascii="Bookman Old Style" w:eastAsia="Times New Roman" w:hAnsi="Bookman Old Style" w:cs="Arial"/>
          <w:spacing w:val="-3"/>
          <w:sz w:val="28"/>
          <w:szCs w:val="28"/>
          <w:lang w:val="es-ES_tradnl" w:eastAsia="es-ES"/>
        </w:rPr>
      </w:pPr>
    </w:p>
    <w:p w:rsidR="009A48B0" w:rsidRPr="009A48B0" w:rsidRDefault="009A48B0" w:rsidP="009A48B0">
      <w:pPr>
        <w:spacing w:line="360" w:lineRule="auto"/>
        <w:jc w:val="both"/>
        <w:rPr>
          <w:rFonts w:ascii="Bookman Old Style" w:eastAsia="Times New Roman" w:hAnsi="Bookman Old Style" w:cs="Arial"/>
          <w:bCs/>
          <w:sz w:val="28"/>
          <w:szCs w:val="28"/>
          <w:lang w:eastAsia="es-ES"/>
        </w:rPr>
      </w:pPr>
      <w:r w:rsidRPr="009A48B0">
        <w:rPr>
          <w:rFonts w:ascii="Bookman Old Style" w:eastAsia="Times New Roman" w:hAnsi="Bookman Old Style" w:cs="Arial"/>
          <w:b/>
          <w:spacing w:val="-3"/>
          <w:sz w:val="28"/>
          <w:szCs w:val="28"/>
          <w:lang w:eastAsia="es-ES"/>
        </w:rPr>
        <w:tab/>
        <w:t xml:space="preserve">1. INADMITIR </w:t>
      </w:r>
      <w:r w:rsidRPr="009A48B0">
        <w:rPr>
          <w:rFonts w:ascii="Bookman Old Style" w:eastAsia="Times New Roman" w:hAnsi="Bookman Old Style" w:cs="Arial"/>
          <w:spacing w:val="-3"/>
          <w:sz w:val="28"/>
          <w:szCs w:val="28"/>
          <w:lang w:eastAsia="es-ES"/>
        </w:rPr>
        <w:t xml:space="preserve"> la demanda de casación presentada por el delegado de la Fiscalía General de la Nación</w:t>
      </w:r>
      <w:r w:rsidRPr="009A48B0">
        <w:rPr>
          <w:rFonts w:ascii="Bookman Old Style" w:eastAsia="Times New Roman" w:hAnsi="Bookman Old Style" w:cs="Arial"/>
          <w:sz w:val="28"/>
          <w:szCs w:val="28"/>
          <w:lang w:eastAsia="es-ES"/>
        </w:rPr>
        <w:t>.</w:t>
      </w:r>
    </w:p>
    <w:p w:rsidR="009A48B0" w:rsidRPr="009A48B0" w:rsidRDefault="009A48B0" w:rsidP="009A48B0">
      <w:pPr>
        <w:spacing w:line="360" w:lineRule="auto"/>
        <w:jc w:val="both"/>
        <w:rPr>
          <w:rFonts w:ascii="Bookman Old Style" w:eastAsia="Times New Roman" w:hAnsi="Bookman Old Style" w:cs="Arial"/>
          <w:bCs/>
          <w:sz w:val="28"/>
          <w:szCs w:val="28"/>
          <w:lang w:eastAsia="es-ES"/>
        </w:rPr>
      </w:pPr>
    </w:p>
    <w:p w:rsidR="009A48B0" w:rsidRPr="009A48B0" w:rsidRDefault="009A48B0" w:rsidP="009A48B0">
      <w:pPr>
        <w:spacing w:line="360" w:lineRule="auto"/>
        <w:jc w:val="both"/>
        <w:rPr>
          <w:rFonts w:ascii="Bookman Old Style" w:eastAsia="Times New Roman" w:hAnsi="Bookman Old Style" w:cs="Arial"/>
          <w:bCs/>
          <w:sz w:val="28"/>
          <w:szCs w:val="28"/>
          <w:lang w:eastAsia="es-ES"/>
        </w:rPr>
      </w:pPr>
    </w:p>
    <w:p w:rsidR="009A48B0" w:rsidRPr="009A48B0" w:rsidRDefault="009A48B0" w:rsidP="009A48B0">
      <w:pPr>
        <w:spacing w:line="360" w:lineRule="auto"/>
        <w:jc w:val="both"/>
        <w:rPr>
          <w:rFonts w:ascii="Bookman Old Style" w:eastAsia="Times New Roman" w:hAnsi="Bookman Old Style" w:cs="Arial"/>
          <w:bCs/>
          <w:sz w:val="28"/>
          <w:szCs w:val="28"/>
          <w:lang w:eastAsia="es-ES"/>
        </w:rPr>
      </w:pPr>
    </w:p>
    <w:p w:rsidR="009A48B0" w:rsidRPr="009A48B0" w:rsidRDefault="009A48B0" w:rsidP="009A48B0">
      <w:pPr>
        <w:spacing w:line="360" w:lineRule="auto"/>
        <w:jc w:val="both"/>
        <w:rPr>
          <w:rFonts w:ascii="Bookman Old Style" w:eastAsia="Times New Roman" w:hAnsi="Bookman Old Style" w:cs="Arial"/>
          <w:bCs/>
          <w:sz w:val="28"/>
          <w:szCs w:val="28"/>
          <w:lang w:eastAsia="es-ES"/>
        </w:rPr>
      </w:pPr>
    </w:p>
    <w:p w:rsidR="009A48B0" w:rsidRPr="009A48B0" w:rsidRDefault="009A48B0" w:rsidP="009A48B0">
      <w:pPr>
        <w:spacing w:line="360" w:lineRule="auto"/>
        <w:ind w:firstLine="709"/>
        <w:jc w:val="both"/>
        <w:rPr>
          <w:rFonts w:ascii="Bookman Old Style" w:eastAsia="Times New Roman" w:hAnsi="Bookman Old Style" w:cs="Arial"/>
          <w:sz w:val="28"/>
          <w:szCs w:val="28"/>
          <w:lang w:eastAsia="es-ES"/>
        </w:rPr>
      </w:pPr>
      <w:r w:rsidRPr="009A48B0">
        <w:rPr>
          <w:rFonts w:ascii="Bookman Old Style" w:eastAsia="Times New Roman" w:hAnsi="Bookman Old Style" w:cs="Arial"/>
          <w:bCs/>
          <w:sz w:val="28"/>
          <w:szCs w:val="28"/>
          <w:lang w:eastAsia="es-ES"/>
        </w:rPr>
        <w:t>D</w:t>
      </w:r>
      <w:r w:rsidRPr="009A48B0">
        <w:rPr>
          <w:rFonts w:ascii="Bookman Old Style" w:eastAsia="Times New Roman" w:hAnsi="Bookman Old Style" w:cs="Arial"/>
          <w:sz w:val="28"/>
          <w:szCs w:val="28"/>
          <w:lang w:eastAsia="es-ES"/>
        </w:rPr>
        <w:t>e  conformidad  con lo dispuesto en el artículo 184 de la Ley 906 de 2004, es viable la interposición del mecanismo de insistencia en los términos precisados por la Sala.</w:t>
      </w:r>
    </w:p>
    <w:p w:rsidR="009A48B0" w:rsidRPr="009A48B0" w:rsidRDefault="009A48B0" w:rsidP="009A48B0">
      <w:pPr>
        <w:spacing w:line="360" w:lineRule="auto"/>
        <w:ind w:right="51"/>
        <w:jc w:val="both"/>
        <w:rPr>
          <w:rFonts w:ascii="Bookman Old Style" w:eastAsia="Times New Roman" w:hAnsi="Bookman Old Style" w:cs="Arial"/>
          <w:spacing w:val="-3"/>
          <w:sz w:val="28"/>
          <w:szCs w:val="28"/>
          <w:lang w:eastAsia="es-ES"/>
        </w:rPr>
      </w:pPr>
    </w:p>
    <w:p w:rsidR="009A48B0" w:rsidRPr="009A48B0" w:rsidRDefault="009A48B0" w:rsidP="009A48B0">
      <w:pPr>
        <w:spacing w:line="360" w:lineRule="auto"/>
        <w:ind w:right="51" w:firstLine="709"/>
        <w:jc w:val="both"/>
        <w:rPr>
          <w:rFonts w:ascii="Bookman Old Style" w:eastAsia="Times New Roman" w:hAnsi="Bookman Old Style" w:cs="Arial"/>
          <w:spacing w:val="-3"/>
          <w:sz w:val="28"/>
          <w:szCs w:val="28"/>
          <w:lang w:eastAsia="es-ES"/>
        </w:rPr>
      </w:pPr>
      <w:r w:rsidRPr="009A48B0">
        <w:rPr>
          <w:rFonts w:ascii="Bookman Old Style" w:eastAsia="Times New Roman" w:hAnsi="Bookman Old Style" w:cs="Arial"/>
          <w:spacing w:val="-3"/>
          <w:sz w:val="28"/>
          <w:szCs w:val="28"/>
          <w:lang w:eastAsia="es-ES"/>
        </w:rPr>
        <w:t>Cópiese, notifíquese y cúmplase.</w:t>
      </w: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r w:rsidRPr="009A48B0">
        <w:rPr>
          <w:rFonts w:ascii="Bookman Old Style" w:eastAsia="Times New Roman" w:hAnsi="Bookman Old Style" w:cs="Arial"/>
          <w:b/>
          <w:w w:val="105"/>
          <w:sz w:val="24"/>
          <w:szCs w:val="24"/>
          <w:lang w:eastAsia="es-ES"/>
        </w:rPr>
        <w:t>FERNANDO ALBERTO CASTRO CABALLERO</w:t>
      </w: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r w:rsidRPr="009A48B0">
        <w:rPr>
          <w:rFonts w:ascii="Bookman Old Style" w:eastAsia="Times New Roman" w:hAnsi="Bookman Old Style" w:cs="Arial"/>
          <w:b/>
          <w:w w:val="105"/>
          <w:sz w:val="24"/>
          <w:szCs w:val="24"/>
          <w:lang w:eastAsia="es-ES"/>
        </w:rPr>
        <w:t>JOSÉ LUIS BARCELÓ CAMACHO</w:t>
      </w: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w w:val="105"/>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r w:rsidRPr="009A48B0">
        <w:rPr>
          <w:rFonts w:ascii="Bookman Old Style" w:eastAsia="Times New Roman" w:hAnsi="Bookman Old Style" w:cs="Arial"/>
          <w:b/>
          <w:sz w:val="24"/>
          <w:szCs w:val="24"/>
          <w:lang w:eastAsia="es-ES"/>
        </w:rPr>
        <w:t>JOSÉ LEONIDAS BUSTOS MARTÍNEZ</w:t>
      </w:r>
    </w:p>
    <w:p w:rsidR="009A48B0" w:rsidRPr="009A48B0" w:rsidRDefault="009A48B0" w:rsidP="009A48B0">
      <w:pPr>
        <w:spacing w:line="360" w:lineRule="auto"/>
        <w:ind w:right="-91"/>
        <w:jc w:val="center"/>
        <w:rPr>
          <w:rFonts w:ascii="Bookman Old Style" w:eastAsia="Times New Roman" w:hAnsi="Bookman Old Style" w:cs="Arial"/>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r w:rsidRPr="009A48B0">
        <w:rPr>
          <w:rFonts w:ascii="Bookman Old Style" w:eastAsia="Times New Roman" w:hAnsi="Bookman Old Style" w:cs="Arial"/>
          <w:b/>
          <w:sz w:val="24"/>
          <w:szCs w:val="24"/>
          <w:lang w:eastAsia="es-ES"/>
        </w:rPr>
        <w:t>EUGENIO FERNÁNDEZ CARLIER</w:t>
      </w: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r w:rsidRPr="009A48B0">
        <w:rPr>
          <w:rFonts w:ascii="Bookman Old Style" w:eastAsia="Times New Roman" w:hAnsi="Bookman Old Style" w:cs="Arial"/>
          <w:b/>
          <w:sz w:val="24"/>
          <w:szCs w:val="24"/>
          <w:lang w:eastAsia="es-ES"/>
        </w:rPr>
        <w:t>MARÍA DEL ROSARIO GONZÁLEZ MUÑOZ</w:t>
      </w: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r w:rsidRPr="009A48B0">
        <w:rPr>
          <w:rFonts w:ascii="Bookman Old Style" w:eastAsia="Times New Roman" w:hAnsi="Bookman Old Style" w:cs="Arial"/>
          <w:b/>
          <w:sz w:val="24"/>
          <w:szCs w:val="24"/>
          <w:lang w:eastAsia="es-ES"/>
        </w:rPr>
        <w:t>GUSTAVO ENRIQUE MALO FERNÁNDEZ</w:t>
      </w: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r w:rsidRPr="009A48B0">
        <w:rPr>
          <w:rFonts w:ascii="Bookman Old Style" w:eastAsia="Times New Roman" w:hAnsi="Bookman Old Style" w:cs="Arial"/>
          <w:b/>
          <w:sz w:val="24"/>
          <w:szCs w:val="24"/>
          <w:lang w:eastAsia="es-ES"/>
        </w:rPr>
        <w:t>EYDER PATIÑO CABRERA</w:t>
      </w: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r w:rsidRPr="009A48B0">
        <w:rPr>
          <w:rFonts w:ascii="Bookman Old Style" w:eastAsia="Times New Roman" w:hAnsi="Bookman Old Style" w:cs="Arial"/>
          <w:b/>
          <w:sz w:val="24"/>
          <w:szCs w:val="24"/>
          <w:lang w:eastAsia="es-ES"/>
        </w:rPr>
        <w:t>PATRICIA SALAZAR CUELLAR</w:t>
      </w: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r w:rsidRPr="009A48B0">
        <w:rPr>
          <w:rFonts w:ascii="Bookman Old Style" w:eastAsia="Times New Roman" w:hAnsi="Bookman Old Style" w:cs="Arial"/>
          <w:b/>
          <w:sz w:val="24"/>
          <w:szCs w:val="24"/>
          <w:lang w:eastAsia="es-ES"/>
        </w:rPr>
        <w:t>LUIS GUILLERMO SALAZAR OTERO</w:t>
      </w: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r w:rsidRPr="009A48B0">
        <w:rPr>
          <w:rFonts w:ascii="Bookman Old Style" w:eastAsia="Times New Roman" w:hAnsi="Bookman Old Style" w:cs="Arial"/>
          <w:b/>
          <w:sz w:val="24"/>
          <w:szCs w:val="24"/>
          <w:lang w:eastAsia="es-ES"/>
        </w:rPr>
        <w:t>NUBIA YOLANDA NOVA GARCÍA</w:t>
      </w:r>
    </w:p>
    <w:p w:rsidR="009A48B0" w:rsidRPr="009A48B0" w:rsidRDefault="009A48B0" w:rsidP="009A48B0">
      <w:pPr>
        <w:spacing w:line="360" w:lineRule="auto"/>
        <w:ind w:right="-91"/>
        <w:jc w:val="center"/>
        <w:rPr>
          <w:rFonts w:ascii="Bookman Old Style" w:eastAsia="Times New Roman" w:hAnsi="Bookman Old Style" w:cs="Arial"/>
          <w:b/>
          <w:sz w:val="24"/>
          <w:szCs w:val="24"/>
          <w:lang w:eastAsia="es-ES"/>
        </w:rPr>
      </w:pPr>
      <w:r w:rsidRPr="009A48B0">
        <w:rPr>
          <w:rFonts w:ascii="Bookman Old Style" w:eastAsia="Times New Roman" w:hAnsi="Bookman Old Style" w:cs="Arial"/>
          <w:b/>
          <w:sz w:val="24"/>
          <w:szCs w:val="24"/>
          <w:lang w:eastAsia="es-ES"/>
        </w:rPr>
        <w:t>Secretaria</w:t>
      </w:r>
    </w:p>
    <w:p w:rsidR="00994AAE" w:rsidRDefault="00994AAE"/>
    <w:sectPr w:rsidR="00994AAE" w:rsidSect="006606B2">
      <w:headerReference w:type="default" r:id="rId8"/>
      <w:footerReference w:type="even" r:id="rId9"/>
      <w:footerReference w:type="default" r:id="rId10"/>
      <w:headerReference w:type="first" r:id="rId11"/>
      <w:pgSz w:w="12242" w:h="18722" w:code="14"/>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6D" w:rsidRDefault="00425B6D" w:rsidP="009A48B0">
      <w:r>
        <w:separator/>
      </w:r>
    </w:p>
  </w:endnote>
  <w:endnote w:type="continuationSeparator" w:id="0">
    <w:p w:rsidR="00425B6D" w:rsidRDefault="00425B6D" w:rsidP="009A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orbe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dwardian Script ITC">
    <w:altName w:val="Kunstler Script"/>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F4" w:rsidRDefault="0037499A" w:rsidP="00BB01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61F4" w:rsidRDefault="00425B6D" w:rsidP="00BB01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F4" w:rsidRDefault="0037499A" w:rsidP="00BB01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0559">
      <w:rPr>
        <w:rStyle w:val="Nmerodepgina"/>
        <w:noProof/>
      </w:rPr>
      <w:t>2</w:t>
    </w:r>
    <w:r>
      <w:rPr>
        <w:rStyle w:val="Nmerodepgina"/>
      </w:rPr>
      <w:fldChar w:fldCharType="end"/>
    </w:r>
  </w:p>
  <w:p w:rsidR="00F061F4" w:rsidRDefault="00425B6D" w:rsidP="00BB01E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6D" w:rsidRDefault="00425B6D" w:rsidP="009A48B0">
      <w:r>
        <w:separator/>
      </w:r>
    </w:p>
  </w:footnote>
  <w:footnote w:type="continuationSeparator" w:id="0">
    <w:p w:rsidR="00425B6D" w:rsidRDefault="00425B6D" w:rsidP="009A48B0">
      <w:r>
        <w:continuationSeparator/>
      </w:r>
    </w:p>
  </w:footnote>
  <w:footnote w:id="1">
    <w:p w:rsidR="009A48B0" w:rsidRPr="009F263A" w:rsidRDefault="009A48B0" w:rsidP="009A48B0">
      <w:pPr>
        <w:pStyle w:val="Textonotapie"/>
        <w:jc w:val="both"/>
        <w:rPr>
          <w:lang w:val="es-MX"/>
        </w:rPr>
      </w:pPr>
      <w:r w:rsidRPr="009F263A">
        <w:rPr>
          <w:rStyle w:val="Refdenotaalpie"/>
        </w:rPr>
        <w:footnoteRef/>
      </w:r>
      <w:r w:rsidRPr="009F263A">
        <w:t xml:space="preserve"> </w:t>
      </w:r>
      <w:r>
        <w:t xml:space="preserve">La Sala </w:t>
      </w:r>
      <w:r w:rsidRPr="009F263A">
        <w:rPr>
          <w:lang w:val="es-MX"/>
        </w:rPr>
        <w:t>omite el nombre de la menor, de conformidad</w:t>
      </w:r>
      <w:r>
        <w:rPr>
          <w:lang w:val="es-MX"/>
        </w:rPr>
        <w:t xml:space="preserve"> </w:t>
      </w:r>
      <w:r w:rsidRPr="009F263A">
        <w:rPr>
          <w:lang w:val="es-MX"/>
        </w:rPr>
        <w:t xml:space="preserve">con lo normado en el numeral 8° del artículo 47 de </w:t>
      </w:r>
      <w:smartTag w:uri="urn:schemas-microsoft-com:office:smarttags" w:element="PersonName">
        <w:smartTagPr>
          <w:attr w:name="ProductID" w:val="la Ley"/>
        </w:smartTagPr>
        <w:r w:rsidRPr="009F263A">
          <w:rPr>
            <w:lang w:val="es-MX"/>
          </w:rPr>
          <w:t>la Ley</w:t>
        </w:r>
      </w:smartTag>
      <w:r w:rsidRPr="009F263A">
        <w:rPr>
          <w:lang w:val="es-MX"/>
        </w:rPr>
        <w:t xml:space="preserve"> 1098 de 2006</w:t>
      </w:r>
      <w:r>
        <w:rPr>
          <w:lang w:val="es-MX"/>
        </w:rPr>
        <w:t>,</w:t>
      </w:r>
      <w:r w:rsidRPr="00C60005">
        <w:rPr>
          <w:lang w:val="es-MX"/>
        </w:rPr>
        <w:t xml:space="preserve"> Código de </w:t>
      </w:r>
      <w:smartTag w:uri="urn:schemas-microsoft-com:office:smarttags" w:element="PersonName">
        <w:smartTagPr>
          <w:attr w:name="ProductID" w:val="la Infancia"/>
        </w:smartTagPr>
        <w:r w:rsidRPr="00C60005">
          <w:rPr>
            <w:lang w:val="es-MX"/>
          </w:rPr>
          <w:t>la Infancia</w:t>
        </w:r>
      </w:smartTag>
      <w:r w:rsidRPr="00C60005">
        <w:rPr>
          <w:lang w:val="es-MX"/>
        </w:rPr>
        <w:t xml:space="preserve"> y la Adolescencia.</w:t>
      </w:r>
      <w:r w:rsidRPr="009F263A">
        <w:rPr>
          <w:lang w:val="es-MX"/>
        </w:rPr>
        <w:t xml:space="preserve"> </w:t>
      </w:r>
    </w:p>
  </w:footnote>
  <w:footnote w:id="2">
    <w:p w:rsidR="009A48B0" w:rsidRPr="00114B2A" w:rsidRDefault="009A48B0" w:rsidP="009A48B0">
      <w:pPr>
        <w:pStyle w:val="Textonotapie"/>
        <w:jc w:val="both"/>
      </w:pPr>
      <w:r w:rsidRPr="00114B2A">
        <w:rPr>
          <w:rStyle w:val="Refdenotaalpie"/>
        </w:rPr>
        <w:footnoteRef/>
      </w:r>
      <w:r w:rsidRPr="00114B2A">
        <w:t xml:space="preserve"> CSJ SP, 19 de </w:t>
      </w:r>
      <w:r>
        <w:t>j</w:t>
      </w:r>
      <w:r w:rsidRPr="00114B2A">
        <w:t>un. 2003</w:t>
      </w:r>
      <w:r>
        <w:t xml:space="preserve">, rad. 16394; CSJ SP, </w:t>
      </w:r>
      <w:r w:rsidRPr="00114B2A">
        <w:t xml:space="preserve"> 9 de ago. 2011, </w:t>
      </w:r>
      <w:r>
        <w:t>r</w:t>
      </w:r>
      <w:r w:rsidRPr="00114B2A">
        <w:t>ad.</w:t>
      </w:r>
      <w:r>
        <w:t xml:space="preserve"> </w:t>
      </w:r>
      <w:r w:rsidRPr="00114B2A">
        <w:t>36267</w:t>
      </w:r>
      <w:r>
        <w:t xml:space="preserve"> y CSJ SP, 18 jun. 2014, rad. 43772.</w:t>
      </w:r>
    </w:p>
  </w:footnote>
  <w:footnote w:id="3">
    <w:p w:rsidR="009A48B0" w:rsidRPr="009760C0" w:rsidRDefault="009A48B0" w:rsidP="009A48B0">
      <w:pPr>
        <w:pStyle w:val="Textonotapie"/>
      </w:pPr>
      <w:r w:rsidRPr="009760C0">
        <w:rPr>
          <w:rStyle w:val="Refdenotaalpie"/>
        </w:rPr>
        <w:footnoteRef/>
      </w:r>
      <w:r w:rsidRPr="009760C0">
        <w:t xml:space="preserve"> CSJ AP</w:t>
      </w:r>
      <w:r>
        <w:t>,</w:t>
      </w:r>
      <w:r w:rsidRPr="009760C0">
        <w:t xml:space="preserve"> 28 ago. 2013, rad. 41764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F4" w:rsidRDefault="0037499A" w:rsidP="00EA16CB">
    <w:pPr>
      <w:pStyle w:val="Encabezado"/>
      <w:jc w:val="right"/>
    </w:pPr>
    <w:r>
      <w:t>Radicado n° 44066</w:t>
    </w:r>
  </w:p>
  <w:p w:rsidR="00F061F4" w:rsidRPr="00E81A84" w:rsidRDefault="009A48B0" w:rsidP="00EA16CB">
    <w:pPr>
      <w:pStyle w:val="Encabezado"/>
      <w:jc w:val="right"/>
      <w:rPr>
        <w:b/>
      </w:rPr>
    </w:pPr>
    <w:r>
      <w:rPr>
        <w:b/>
      </w:rPr>
      <w:t>JDO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F4" w:rsidRPr="00864478" w:rsidRDefault="00425B6D" w:rsidP="00766F5A">
    <w:pPr>
      <w:keepNext/>
      <w:tabs>
        <w:tab w:val="left" w:pos="3544"/>
      </w:tabs>
      <w:spacing w:after="120"/>
      <w:ind w:right="51"/>
      <w:jc w:val="center"/>
      <w:outlineLvl w:val="0"/>
      <w:rPr>
        <w:rFonts w:ascii="Edwardian Script ITC" w:hAnsi="Edwardian Script ITC"/>
        <w:b/>
        <w:spacing w:val="20"/>
        <w:w w:val="110"/>
        <w:sz w:val="32"/>
        <w:szCs w:val="32"/>
      </w:rPr>
    </w:pPr>
    <w:r>
      <w:rPr>
        <w:rFonts w:ascii="Times New Roman" w:hAnsi="Times New Roman"/>
        <w:noProo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5.25pt;margin-top:27.7pt;width:44pt;height:49.35pt;z-index:251658240;visibility:visible;mso-wrap-edited:f">
          <v:imagedata r:id="rId1" o:title=""/>
          <w10:wrap type="topAndBottom"/>
        </v:shape>
        <o:OLEObject Type="Embed" ProgID="Word.Picture.8" ShapeID="_x0000_s2049" DrawAspect="Content" ObjectID="_1475647526" r:id="rId2"/>
      </w:pict>
    </w:r>
    <w:r w:rsidR="0037499A" w:rsidRPr="00864478">
      <w:rPr>
        <w:rFonts w:ascii="Kunstler Script" w:hAnsi="Kunstler Script"/>
        <w:b/>
        <w:spacing w:val="20"/>
        <w:w w:val="110"/>
        <w:sz w:val="40"/>
        <w:szCs w:val="40"/>
      </w:rPr>
      <w:t>República</w:t>
    </w:r>
    <w:r w:rsidR="0037499A" w:rsidRPr="00864478">
      <w:rPr>
        <w:rFonts w:ascii="Edwardian Script ITC" w:hAnsi="Edwardian Script ITC"/>
        <w:b/>
        <w:spacing w:val="20"/>
        <w:w w:val="110"/>
        <w:sz w:val="32"/>
        <w:szCs w:val="32"/>
      </w:rPr>
      <w:t xml:space="preserve">   </w:t>
    </w:r>
    <w:r w:rsidR="0037499A" w:rsidRPr="00864478">
      <w:rPr>
        <w:rFonts w:ascii="Kunstler Script" w:hAnsi="Kunstler Script"/>
        <w:b/>
        <w:spacing w:val="20"/>
        <w:w w:val="110"/>
        <w:sz w:val="40"/>
        <w:szCs w:val="40"/>
      </w:rPr>
      <w:t>de</w:t>
    </w:r>
    <w:r w:rsidR="0037499A" w:rsidRPr="00864478">
      <w:rPr>
        <w:rFonts w:ascii="Edwardian Script ITC" w:hAnsi="Edwardian Script ITC"/>
        <w:b/>
        <w:spacing w:val="20"/>
        <w:w w:val="110"/>
        <w:sz w:val="32"/>
        <w:szCs w:val="32"/>
      </w:rPr>
      <w:t xml:space="preserve">  </w:t>
    </w:r>
    <w:r w:rsidR="0037499A" w:rsidRPr="00864478">
      <w:rPr>
        <w:rFonts w:ascii="Kunstler Script" w:hAnsi="Kunstler Script"/>
        <w:b/>
        <w:spacing w:val="20"/>
        <w:w w:val="110"/>
        <w:sz w:val="40"/>
        <w:szCs w:val="40"/>
      </w:rPr>
      <w:t>Colombia</w:t>
    </w:r>
  </w:p>
  <w:p w:rsidR="00F061F4" w:rsidRPr="00864478" w:rsidRDefault="00425B6D" w:rsidP="00766F5A">
    <w:pPr>
      <w:tabs>
        <w:tab w:val="left" w:pos="3544"/>
        <w:tab w:val="left" w:pos="4305"/>
        <w:tab w:val="center" w:pos="4465"/>
      </w:tabs>
      <w:spacing w:after="120"/>
      <w:ind w:right="51"/>
      <w:rPr>
        <w:b/>
      </w:rPr>
    </w:pPr>
  </w:p>
  <w:p w:rsidR="00F061F4" w:rsidRDefault="00425B6D" w:rsidP="00766F5A">
    <w:pPr>
      <w:tabs>
        <w:tab w:val="left" w:pos="3544"/>
      </w:tabs>
      <w:ind w:right="51"/>
      <w:rPr>
        <w:b/>
        <w:sz w:val="16"/>
        <w:szCs w:val="16"/>
      </w:rPr>
    </w:pPr>
  </w:p>
  <w:p w:rsidR="00F061F4" w:rsidRPr="00864478" w:rsidRDefault="00425B6D" w:rsidP="00766F5A">
    <w:pPr>
      <w:tabs>
        <w:tab w:val="left" w:pos="3544"/>
      </w:tabs>
      <w:ind w:right="51"/>
      <w:rPr>
        <w:b/>
        <w:sz w:val="16"/>
        <w:szCs w:val="16"/>
      </w:rPr>
    </w:pPr>
  </w:p>
  <w:p w:rsidR="00F061F4" w:rsidRDefault="0037499A" w:rsidP="00766F5A">
    <w:pPr>
      <w:pStyle w:val="Encabezado"/>
      <w:jc w:val="center"/>
      <w:rPr>
        <w:rFonts w:ascii="Kunstler Script" w:hAnsi="Kunstler Script"/>
        <w:b/>
        <w:spacing w:val="20"/>
        <w:w w:val="110"/>
        <w:sz w:val="40"/>
        <w:szCs w:val="40"/>
      </w:rPr>
    </w:pPr>
    <w:r w:rsidRPr="00864478">
      <w:rPr>
        <w:rFonts w:ascii="Kunstler Script" w:hAnsi="Kunstler Script"/>
        <w:b/>
        <w:spacing w:val="20"/>
        <w:w w:val="110"/>
        <w:sz w:val="40"/>
        <w:szCs w:val="40"/>
      </w:rPr>
      <w:t>Corte</w:t>
    </w:r>
    <w:r w:rsidRPr="00864478">
      <w:rPr>
        <w:rFonts w:ascii="Edwardian Script ITC" w:hAnsi="Edwardian Script ITC"/>
        <w:b/>
        <w:bCs/>
        <w:i/>
        <w:iCs/>
        <w:spacing w:val="20"/>
        <w:w w:val="110"/>
        <w:sz w:val="32"/>
        <w:szCs w:val="32"/>
      </w:rPr>
      <w:t xml:space="preserve">  </w:t>
    </w:r>
    <w:r w:rsidRPr="00864478">
      <w:rPr>
        <w:rFonts w:ascii="Edwardian Script ITC" w:hAnsi="Edwardian Script ITC"/>
        <w:b/>
        <w:bCs/>
        <w:iCs/>
        <w:spacing w:val="20"/>
        <w:w w:val="110"/>
        <w:sz w:val="32"/>
        <w:szCs w:val="32"/>
      </w:rPr>
      <w:t>S</w:t>
    </w:r>
    <w:r w:rsidRPr="00864478">
      <w:rPr>
        <w:rFonts w:ascii="Kunstler Script" w:hAnsi="Kunstler Script"/>
        <w:b/>
        <w:spacing w:val="20"/>
        <w:w w:val="110"/>
        <w:sz w:val="40"/>
        <w:szCs w:val="40"/>
      </w:rPr>
      <w:t>uprema</w:t>
    </w:r>
    <w:r w:rsidRPr="00864478">
      <w:rPr>
        <w:rFonts w:ascii="Edwardian Script ITC" w:hAnsi="Edwardian Script ITC"/>
        <w:b/>
        <w:bCs/>
        <w:iCs/>
        <w:spacing w:val="20"/>
        <w:w w:val="110"/>
        <w:sz w:val="32"/>
        <w:szCs w:val="32"/>
      </w:rPr>
      <w:t xml:space="preserve"> </w:t>
    </w:r>
    <w:r w:rsidRPr="00864478">
      <w:rPr>
        <w:rFonts w:ascii="Edwardian Script ITC" w:hAnsi="Edwardian Script ITC"/>
        <w:b/>
        <w:bCs/>
        <w:i/>
        <w:iCs/>
        <w:spacing w:val="20"/>
        <w:w w:val="110"/>
        <w:sz w:val="32"/>
        <w:szCs w:val="32"/>
      </w:rPr>
      <w:t xml:space="preserve"> de  J</w:t>
    </w:r>
    <w:r w:rsidRPr="00864478">
      <w:rPr>
        <w:rFonts w:ascii="Kunstler Script" w:hAnsi="Kunstler Script"/>
        <w:b/>
        <w:spacing w:val="20"/>
        <w:w w:val="110"/>
        <w:sz w:val="40"/>
        <w:szCs w:val="40"/>
      </w:rPr>
      <w:t>usticia</w:t>
    </w:r>
  </w:p>
  <w:p w:rsidR="00F061F4" w:rsidRDefault="00425B6D" w:rsidP="00766F5A">
    <w:pPr>
      <w:pStyle w:val="Encabezado"/>
      <w:jc w:val="center"/>
    </w:pPr>
  </w:p>
  <w:p w:rsidR="00F061F4" w:rsidRDefault="00425B6D" w:rsidP="00766F5A">
    <w:pPr>
      <w:pStyle w:val="Encabezado"/>
      <w:jc w:val="center"/>
    </w:pPr>
  </w:p>
  <w:p w:rsidR="00F061F4" w:rsidRDefault="00425B6D" w:rsidP="00E27A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D4A"/>
    <w:multiLevelType w:val="hybridMultilevel"/>
    <w:tmpl w:val="22B01F66"/>
    <w:lvl w:ilvl="0" w:tplc="93AA8D3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3655FF"/>
    <w:multiLevelType w:val="hybridMultilevel"/>
    <w:tmpl w:val="2D2412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A92949"/>
    <w:multiLevelType w:val="hybridMultilevel"/>
    <w:tmpl w:val="2042CE36"/>
    <w:lvl w:ilvl="0" w:tplc="FFC60D9E">
      <w:start w:val="1"/>
      <w:numFmt w:val="lowerLetter"/>
      <w:lvlText w:val="%1)"/>
      <w:lvlJc w:val="left"/>
      <w:pPr>
        <w:tabs>
          <w:tab w:val="num" w:pos="1068"/>
        </w:tabs>
        <w:ind w:left="1068" w:hanging="360"/>
      </w:pPr>
      <w:rPr>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31012202"/>
    <w:multiLevelType w:val="hybridMultilevel"/>
    <w:tmpl w:val="B4885526"/>
    <w:lvl w:ilvl="0" w:tplc="240A0001">
      <w:start w:val="1"/>
      <w:numFmt w:val="bullet"/>
      <w:lvlText w:val=""/>
      <w:lvlJc w:val="left"/>
      <w:pPr>
        <w:ind w:left="870" w:hanging="360"/>
      </w:pPr>
      <w:rPr>
        <w:rFonts w:ascii="Symbol" w:hAnsi="Symbol"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4">
    <w:nsid w:val="42C014C9"/>
    <w:multiLevelType w:val="hybridMultilevel"/>
    <w:tmpl w:val="EA660324"/>
    <w:lvl w:ilvl="0" w:tplc="B9D6DD3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4C910C61"/>
    <w:multiLevelType w:val="hybridMultilevel"/>
    <w:tmpl w:val="66FA191A"/>
    <w:lvl w:ilvl="0" w:tplc="92E2501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9687995"/>
    <w:multiLevelType w:val="hybridMultilevel"/>
    <w:tmpl w:val="B57CC9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21A1265"/>
    <w:multiLevelType w:val="hybridMultilevel"/>
    <w:tmpl w:val="3DB0EEE6"/>
    <w:lvl w:ilvl="0" w:tplc="14A697DC">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8">
    <w:nsid w:val="73FB41E5"/>
    <w:multiLevelType w:val="hybridMultilevel"/>
    <w:tmpl w:val="751057C8"/>
    <w:lvl w:ilvl="0" w:tplc="2EA24D56">
      <w:start w:val="1"/>
      <w:numFmt w:val="lowerRoman"/>
      <w:lvlText w:val="(%1)"/>
      <w:lvlJc w:val="left"/>
      <w:pPr>
        <w:tabs>
          <w:tab w:val="num" w:pos="1065"/>
        </w:tabs>
        <w:ind w:left="1065" w:hanging="360"/>
      </w:pPr>
      <w:rPr>
        <w:rFonts w:ascii="Times New Roman" w:eastAsia="Times New Roman" w:hAnsi="Times New Roman" w:cs="Times New Roman"/>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9">
    <w:nsid w:val="74DE2CE5"/>
    <w:multiLevelType w:val="hybridMultilevel"/>
    <w:tmpl w:val="16982D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7"/>
  </w:num>
  <w:num w:numId="7">
    <w:abstractNumId w:val="8"/>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ocumentProtection w:edit="readOnly" w:enforcement="1" w:cryptProviderType="rsaFull" w:cryptAlgorithmClass="hash" w:cryptAlgorithmType="typeAny" w:cryptAlgorithmSid="4" w:cryptSpinCount="100000" w:hash="i/kv/rmWnc1UvV5nJOVlT6Bri1E=" w:salt="Ap6KWGmwDDmFbI2sgetDu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B0"/>
    <w:rsid w:val="0037499A"/>
    <w:rsid w:val="00425B6D"/>
    <w:rsid w:val="00994AAE"/>
    <w:rsid w:val="009A48B0"/>
    <w:rsid w:val="00C705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A48B0"/>
    <w:pPr>
      <w:keepNext/>
      <w:tabs>
        <w:tab w:val="center" w:pos="3968"/>
      </w:tabs>
      <w:suppressAutoHyphens/>
      <w:spacing w:line="480" w:lineRule="auto"/>
      <w:ind w:right="51"/>
      <w:jc w:val="both"/>
      <w:outlineLvl w:val="0"/>
    </w:pPr>
    <w:rPr>
      <w:rFonts w:ascii="Arial" w:eastAsia="Times New Roman" w:hAnsi="Arial" w:cs="Times New Roman"/>
      <w:b/>
      <w:spacing w:val="-3"/>
      <w:sz w:val="28"/>
      <w:szCs w:val="20"/>
      <w:lang w:val="es-ES_tradnl" w:eastAsia="es-ES"/>
    </w:rPr>
  </w:style>
  <w:style w:type="paragraph" w:styleId="Ttulo2">
    <w:name w:val="heading 2"/>
    <w:basedOn w:val="Normal"/>
    <w:next w:val="Normal"/>
    <w:link w:val="Ttulo2Car"/>
    <w:qFormat/>
    <w:rsid w:val="009A48B0"/>
    <w:pPr>
      <w:keepNext/>
      <w:jc w:val="center"/>
      <w:outlineLvl w:val="1"/>
    </w:pPr>
    <w:rPr>
      <w:rFonts w:ascii="Arial Narrow" w:eastAsia="Times New Roman" w:hAnsi="Arial Narrow" w:cs="Times New Roman"/>
      <w:b/>
      <w:sz w:val="32"/>
      <w:szCs w:val="24"/>
      <w:lang w:eastAsia="es-ES"/>
    </w:rPr>
  </w:style>
  <w:style w:type="paragraph" w:styleId="Ttulo4">
    <w:name w:val="heading 4"/>
    <w:basedOn w:val="Normal"/>
    <w:next w:val="Normal"/>
    <w:link w:val="Ttulo4Car"/>
    <w:qFormat/>
    <w:rsid w:val="009A48B0"/>
    <w:pPr>
      <w:keepNext/>
      <w:tabs>
        <w:tab w:val="center" w:pos="3968"/>
        <w:tab w:val="left" w:pos="8789"/>
      </w:tabs>
      <w:suppressAutoHyphens/>
      <w:spacing w:line="360" w:lineRule="auto"/>
      <w:ind w:right="51"/>
      <w:jc w:val="both"/>
      <w:outlineLvl w:val="3"/>
    </w:pPr>
    <w:rPr>
      <w:rFonts w:ascii="Antique Olive" w:eastAsia="Times New Roman" w:hAnsi="Antique Olive" w:cs="Times New Roman"/>
      <w:b/>
      <w:spacing w:val="-3"/>
      <w:sz w:val="24"/>
      <w:szCs w:val="20"/>
      <w:lang w:eastAsia="es-ES"/>
    </w:rPr>
  </w:style>
  <w:style w:type="paragraph" w:styleId="Ttulo5">
    <w:name w:val="heading 5"/>
    <w:basedOn w:val="Normal"/>
    <w:next w:val="Normal"/>
    <w:link w:val="Ttulo5Car"/>
    <w:qFormat/>
    <w:rsid w:val="009A48B0"/>
    <w:pPr>
      <w:keepNext/>
      <w:tabs>
        <w:tab w:val="center" w:pos="3968"/>
        <w:tab w:val="left" w:pos="8789"/>
      </w:tabs>
      <w:suppressAutoHyphens/>
      <w:spacing w:line="360" w:lineRule="auto"/>
      <w:ind w:right="51"/>
      <w:jc w:val="center"/>
      <w:outlineLvl w:val="4"/>
    </w:pPr>
    <w:rPr>
      <w:rFonts w:ascii="Antique Olive" w:eastAsia="Times New Roman" w:hAnsi="Antique Olive" w:cs="Times New Roman"/>
      <w:spacing w:val="-3"/>
      <w:sz w:val="24"/>
      <w:szCs w:val="20"/>
      <w:lang w:eastAsia="es-ES"/>
    </w:rPr>
  </w:style>
  <w:style w:type="paragraph" w:styleId="Ttulo8">
    <w:name w:val="heading 8"/>
    <w:basedOn w:val="Normal"/>
    <w:next w:val="Normal"/>
    <w:link w:val="Ttulo8Car"/>
    <w:semiHidden/>
    <w:unhideWhenUsed/>
    <w:qFormat/>
    <w:rsid w:val="009A48B0"/>
    <w:pPr>
      <w:spacing w:before="240" w:after="60"/>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A48B0"/>
    <w:rPr>
      <w:rFonts w:ascii="Arial" w:eastAsia="Times New Roman" w:hAnsi="Arial" w:cs="Times New Roman"/>
      <w:b/>
      <w:spacing w:val="-3"/>
      <w:sz w:val="28"/>
      <w:szCs w:val="20"/>
      <w:lang w:val="es-ES_tradnl" w:eastAsia="es-ES"/>
    </w:rPr>
  </w:style>
  <w:style w:type="character" w:customStyle="1" w:styleId="Ttulo2Car">
    <w:name w:val="Título 2 Car"/>
    <w:basedOn w:val="Fuentedeprrafopredeter"/>
    <w:link w:val="Ttulo2"/>
    <w:rsid w:val="009A48B0"/>
    <w:rPr>
      <w:rFonts w:ascii="Arial Narrow" w:eastAsia="Times New Roman" w:hAnsi="Arial Narrow" w:cs="Times New Roman"/>
      <w:b/>
      <w:sz w:val="32"/>
      <w:szCs w:val="24"/>
      <w:lang w:eastAsia="es-ES"/>
    </w:rPr>
  </w:style>
  <w:style w:type="character" w:customStyle="1" w:styleId="Ttulo4Car">
    <w:name w:val="Título 4 Car"/>
    <w:basedOn w:val="Fuentedeprrafopredeter"/>
    <w:link w:val="Ttulo4"/>
    <w:rsid w:val="009A48B0"/>
    <w:rPr>
      <w:rFonts w:ascii="Antique Olive" w:eastAsia="Times New Roman" w:hAnsi="Antique Olive" w:cs="Times New Roman"/>
      <w:b/>
      <w:spacing w:val="-3"/>
      <w:sz w:val="24"/>
      <w:szCs w:val="20"/>
      <w:lang w:eastAsia="es-ES"/>
    </w:rPr>
  </w:style>
  <w:style w:type="character" w:customStyle="1" w:styleId="Ttulo5Car">
    <w:name w:val="Título 5 Car"/>
    <w:basedOn w:val="Fuentedeprrafopredeter"/>
    <w:link w:val="Ttulo5"/>
    <w:rsid w:val="009A48B0"/>
    <w:rPr>
      <w:rFonts w:ascii="Antique Olive" w:eastAsia="Times New Roman" w:hAnsi="Antique Olive" w:cs="Times New Roman"/>
      <w:spacing w:val="-3"/>
      <w:sz w:val="24"/>
      <w:szCs w:val="20"/>
      <w:lang w:eastAsia="es-ES"/>
    </w:rPr>
  </w:style>
  <w:style w:type="character" w:customStyle="1" w:styleId="Ttulo8Car">
    <w:name w:val="Título 8 Car"/>
    <w:basedOn w:val="Fuentedeprrafopredeter"/>
    <w:link w:val="Ttulo8"/>
    <w:semiHidden/>
    <w:rsid w:val="009A48B0"/>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9A48B0"/>
  </w:style>
  <w:style w:type="paragraph" w:styleId="Textoindependiente">
    <w:name w:val="Body Text"/>
    <w:basedOn w:val="Normal"/>
    <w:link w:val="TextoindependienteCar"/>
    <w:rsid w:val="009A48B0"/>
    <w:pPr>
      <w:jc w:val="both"/>
    </w:pPr>
    <w:rPr>
      <w:rFonts w:ascii="Arial Narrow" w:eastAsia="Times New Roman" w:hAnsi="Arial Narrow" w:cs="Times New Roman"/>
      <w:sz w:val="32"/>
      <w:szCs w:val="24"/>
      <w:lang w:eastAsia="es-ES"/>
    </w:rPr>
  </w:style>
  <w:style w:type="character" w:customStyle="1" w:styleId="TextoindependienteCar">
    <w:name w:val="Texto independiente Car"/>
    <w:basedOn w:val="Fuentedeprrafopredeter"/>
    <w:link w:val="Textoindependiente"/>
    <w:rsid w:val="009A48B0"/>
    <w:rPr>
      <w:rFonts w:ascii="Arial Narrow" w:eastAsia="Times New Roman" w:hAnsi="Arial Narrow" w:cs="Times New Roman"/>
      <w:sz w:val="32"/>
      <w:szCs w:val="24"/>
      <w:lang w:eastAsia="es-ES"/>
    </w:rPr>
  </w:style>
  <w:style w:type="paragraph" w:styleId="Encabezado">
    <w:name w:val="header"/>
    <w:basedOn w:val="Normal"/>
    <w:link w:val="EncabezadoCar"/>
    <w:rsid w:val="009A48B0"/>
    <w:pPr>
      <w:tabs>
        <w:tab w:val="center" w:pos="4252"/>
        <w:tab w:val="right" w:pos="8504"/>
      </w:tabs>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9A48B0"/>
    <w:rPr>
      <w:rFonts w:ascii="Times New Roman" w:eastAsia="Times New Roman" w:hAnsi="Times New Roman" w:cs="Times New Roman"/>
      <w:sz w:val="24"/>
      <w:szCs w:val="24"/>
      <w:lang w:eastAsia="es-ES"/>
    </w:rPr>
  </w:style>
  <w:style w:type="paragraph" w:styleId="Piedepgina">
    <w:name w:val="footer"/>
    <w:basedOn w:val="Normal"/>
    <w:link w:val="PiedepginaCar"/>
    <w:rsid w:val="009A48B0"/>
    <w:pPr>
      <w:tabs>
        <w:tab w:val="center" w:pos="4252"/>
        <w:tab w:val="right" w:pos="8504"/>
      </w:tabs>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9A48B0"/>
    <w:rPr>
      <w:rFonts w:ascii="Times New Roman" w:eastAsia="Times New Roman" w:hAnsi="Times New Roman" w:cs="Times New Roman"/>
      <w:sz w:val="24"/>
      <w:szCs w:val="24"/>
      <w:lang w:eastAsia="es-ES"/>
    </w:rPr>
  </w:style>
  <w:style w:type="character" w:styleId="Nmerodepgina">
    <w:name w:val="page number"/>
    <w:basedOn w:val="Fuentedeprrafopredeter"/>
    <w:rsid w:val="009A48B0"/>
  </w:style>
  <w:style w:type="paragraph" w:styleId="Textosinformato">
    <w:name w:val="Plain Text"/>
    <w:basedOn w:val="Normal"/>
    <w:link w:val="TextosinformatoCar"/>
    <w:rsid w:val="009A48B0"/>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9A48B0"/>
    <w:rPr>
      <w:rFonts w:ascii="Courier New" w:eastAsia="Times New Roman" w:hAnsi="Courier New" w:cs="Courier New"/>
      <w:sz w:val="20"/>
      <w:szCs w:val="20"/>
      <w:lang w:eastAsia="es-ES"/>
    </w:rPr>
  </w:style>
  <w:style w:type="paragraph" w:styleId="Textonotapie">
    <w:name w:val="footnote text"/>
    <w:aliases w:val="Footnote Text Char Char Char Char Char,Footnote Text Char Char Char Char,Footnote reference,FA Fu,Texto nota pie Car Car Car Car Car Car Car Car Car Car Car,Texto nota pie Car Car Car,texto de nota al pie,ft,Car, Car,Ca,FA ,Car2,C"/>
    <w:basedOn w:val="Normal"/>
    <w:link w:val="TextonotapieCar1"/>
    <w:rsid w:val="009A48B0"/>
    <w:rPr>
      <w:rFonts w:ascii="Times New Roman" w:eastAsia="Times New Roman" w:hAnsi="Times New Roman" w:cs="Times New Roman"/>
      <w:sz w:val="20"/>
      <w:szCs w:val="20"/>
      <w:lang w:eastAsia="es-ES"/>
    </w:rPr>
  </w:style>
  <w:style w:type="character" w:customStyle="1" w:styleId="TextonotapieCar">
    <w:name w:val="Texto nota pie Car"/>
    <w:aliases w:val="Texto nota pie Car Car Car Car Car Car Car Car Car Car Car1,Texto nota pie Car Car Car Car Car Car Car Car Car Car Car Car Car"/>
    <w:basedOn w:val="Fuentedeprrafopredeter"/>
    <w:semiHidden/>
    <w:rsid w:val="009A48B0"/>
    <w:rPr>
      <w:sz w:val="20"/>
      <w:szCs w:val="20"/>
    </w:rPr>
  </w:style>
  <w:style w:type="character" w:styleId="Refdenotaalpie">
    <w:name w:val="footnote reference"/>
    <w:aliases w:val="Texto de nota al pie,Appel note de bas de page,referencia nota al pie,BVI fnr,Footnote symbol,Footnote,Ref. de nota al pie2,Nota de pie,Ref,de nota al pie,Pie de pagina,Ref. ...,Ref1,FC,Ref. de nota al pie 2"/>
    <w:rsid w:val="009A48B0"/>
    <w:rPr>
      <w:vertAlign w:val="superscript"/>
    </w:rPr>
  </w:style>
  <w:style w:type="paragraph" w:styleId="Textodebloque">
    <w:name w:val="Block Text"/>
    <w:basedOn w:val="Normal"/>
    <w:rsid w:val="009A48B0"/>
    <w:pPr>
      <w:spacing w:before="240" w:after="240" w:line="360" w:lineRule="auto"/>
      <w:ind w:left="709" w:right="618"/>
      <w:jc w:val="both"/>
    </w:pPr>
    <w:rPr>
      <w:rFonts w:ascii="Arial" w:eastAsia="Times New Roman" w:hAnsi="Arial" w:cs="Arial"/>
      <w:i/>
      <w:iCs/>
      <w:sz w:val="32"/>
      <w:szCs w:val="20"/>
      <w:lang w:val="es-ES_tradnl" w:eastAsia="es-ES"/>
    </w:rPr>
  </w:style>
  <w:style w:type="paragraph" w:styleId="Textoindependiente3">
    <w:name w:val="Body Text 3"/>
    <w:basedOn w:val="Normal"/>
    <w:link w:val="Textoindependiente3Car"/>
    <w:rsid w:val="009A48B0"/>
    <w:pPr>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9A48B0"/>
    <w:rPr>
      <w:rFonts w:ascii="Times New Roman" w:eastAsia="Times New Roman" w:hAnsi="Times New Roman" w:cs="Times New Roman"/>
      <w:sz w:val="16"/>
      <w:szCs w:val="16"/>
      <w:lang w:eastAsia="es-ES"/>
    </w:rPr>
  </w:style>
  <w:style w:type="paragraph" w:styleId="Textodeglobo">
    <w:name w:val="Balloon Text"/>
    <w:basedOn w:val="Normal"/>
    <w:link w:val="TextodegloboCar"/>
    <w:rsid w:val="009A48B0"/>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9A48B0"/>
    <w:rPr>
      <w:rFonts w:ascii="Tahoma" w:eastAsia="Times New Roman" w:hAnsi="Tahoma" w:cs="Tahoma"/>
      <w:sz w:val="16"/>
      <w:szCs w:val="16"/>
      <w:lang w:eastAsia="es-ES"/>
    </w:rPr>
  </w:style>
  <w:style w:type="paragraph" w:customStyle="1" w:styleId="Profesin">
    <w:name w:val="ProfesiÛn"/>
    <w:basedOn w:val="Normal"/>
    <w:rsid w:val="009A48B0"/>
    <w:pPr>
      <w:tabs>
        <w:tab w:val="left" w:pos="1134"/>
      </w:tabs>
      <w:spacing w:line="360" w:lineRule="atLeast"/>
      <w:jc w:val="center"/>
    </w:pPr>
    <w:rPr>
      <w:rFonts w:ascii="Arial" w:eastAsia="Times New Roman" w:hAnsi="Arial" w:cs="Times New Roman"/>
      <w:b/>
      <w:sz w:val="32"/>
      <w:szCs w:val="20"/>
      <w:lang w:eastAsia="es-ES"/>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Texto nota pie Car Car Car Car,texto de nota al pie Car"/>
    <w:link w:val="Textonotapie"/>
    <w:rsid w:val="009A48B0"/>
    <w:rPr>
      <w:rFonts w:ascii="Times New Roman" w:eastAsia="Times New Roman" w:hAnsi="Times New Roman" w:cs="Times New Roman"/>
      <w:sz w:val="20"/>
      <w:szCs w:val="20"/>
      <w:lang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9A48B0"/>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9A48B0"/>
    <w:pPr>
      <w:spacing w:after="120"/>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9A48B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A48B0"/>
    <w:pPr>
      <w:ind w:left="720"/>
      <w:contextualSpacing/>
    </w:pPr>
    <w:rPr>
      <w:rFonts w:ascii="Times New Roman" w:eastAsia="Times New Roman" w:hAnsi="Times New Roman" w:cs="Times New Roman"/>
      <w:sz w:val="24"/>
      <w:szCs w:val="24"/>
      <w:lang w:eastAsia="es-ES"/>
    </w:rPr>
  </w:style>
  <w:style w:type="paragraph" w:styleId="Sinespaciado">
    <w:name w:val="No Spacing"/>
    <w:uiPriority w:val="1"/>
    <w:qFormat/>
    <w:rsid w:val="009A48B0"/>
    <w:rPr>
      <w:rFonts w:ascii="Calibri" w:eastAsia="Times New Roman" w:hAnsi="Calibri" w:cs="Times New Roman"/>
      <w:lang w:val="en-US"/>
    </w:rPr>
  </w:style>
  <w:style w:type="paragraph" w:styleId="Textoindependiente2">
    <w:name w:val="Body Text 2"/>
    <w:basedOn w:val="Normal"/>
    <w:link w:val="Textoindependiente2Car"/>
    <w:uiPriority w:val="99"/>
    <w:unhideWhenUsed/>
    <w:rsid w:val="009A48B0"/>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9A48B0"/>
    <w:rPr>
      <w:rFonts w:ascii="Times New Roman" w:eastAsia="Times New Roman" w:hAnsi="Times New Roman" w:cs="Times New Roman"/>
      <w:sz w:val="24"/>
      <w:szCs w:val="24"/>
      <w:lang w:eastAsia="es-ES"/>
    </w:rPr>
  </w:style>
  <w:style w:type="paragraph" w:customStyle="1" w:styleId="Textosinformato1">
    <w:name w:val="Texto sin formato1"/>
    <w:basedOn w:val="Normal"/>
    <w:rsid w:val="009A48B0"/>
    <w:rPr>
      <w:rFonts w:ascii="Courier New" w:eastAsia="Times New Roman" w:hAnsi="Courier New" w:cs="Times New Roman"/>
      <w:sz w:val="20"/>
      <w:szCs w:val="20"/>
      <w:lang w:eastAsia="es-ES"/>
    </w:rPr>
  </w:style>
  <w:style w:type="character" w:customStyle="1" w:styleId="textonavy">
    <w:name w:val="texto_navy"/>
    <w:basedOn w:val="Fuentedeprrafopredeter"/>
    <w:rsid w:val="009A48B0"/>
  </w:style>
  <w:style w:type="character" w:styleId="Hipervnculo">
    <w:name w:val="Hyperlink"/>
    <w:basedOn w:val="Fuentedeprrafopredeter"/>
    <w:uiPriority w:val="99"/>
    <w:unhideWhenUsed/>
    <w:rsid w:val="009A48B0"/>
    <w:rPr>
      <w:color w:val="0000FF"/>
      <w:u w:val="single"/>
    </w:rPr>
  </w:style>
  <w:style w:type="paragraph" w:styleId="Sangra2detindependiente">
    <w:name w:val="Body Text Indent 2"/>
    <w:basedOn w:val="Normal"/>
    <w:link w:val="Sangra2detindependienteCar"/>
    <w:rsid w:val="009A48B0"/>
    <w:pPr>
      <w:spacing w:after="120" w:line="480" w:lineRule="auto"/>
      <w:ind w:left="283"/>
    </w:pPr>
    <w:rPr>
      <w:rFonts w:ascii="Calibri" w:eastAsia="Calibri" w:hAnsi="Calibri" w:cs="Times New Roman"/>
    </w:rPr>
  </w:style>
  <w:style w:type="character" w:customStyle="1" w:styleId="Sangra2detindependienteCar">
    <w:name w:val="Sangría 2 de t. independiente Car"/>
    <w:basedOn w:val="Fuentedeprrafopredeter"/>
    <w:link w:val="Sangra2detindependiente"/>
    <w:rsid w:val="009A48B0"/>
    <w:rPr>
      <w:rFonts w:ascii="Calibri" w:eastAsia="Calibri" w:hAnsi="Calibri" w:cs="Times New Roman"/>
    </w:rPr>
  </w:style>
  <w:style w:type="character" w:customStyle="1" w:styleId="textonavy1">
    <w:name w:val="texto_navy1"/>
    <w:rsid w:val="009A48B0"/>
    <w:rPr>
      <w:color w:val="000080"/>
    </w:rPr>
  </w:style>
  <w:style w:type="paragraph" w:styleId="Ttulo">
    <w:name w:val="Title"/>
    <w:basedOn w:val="Normal"/>
    <w:link w:val="TtuloCar"/>
    <w:qFormat/>
    <w:rsid w:val="009A48B0"/>
    <w:pPr>
      <w:jc w:val="center"/>
    </w:pPr>
    <w:rPr>
      <w:rFonts w:ascii="Verdana" w:eastAsia="Times New Roman" w:hAnsi="Verdana" w:cs="Times New Roman"/>
      <w:sz w:val="32"/>
      <w:szCs w:val="20"/>
      <w:lang w:eastAsia="es-ES"/>
    </w:rPr>
  </w:style>
  <w:style w:type="character" w:customStyle="1" w:styleId="TtuloCar">
    <w:name w:val="Título Car"/>
    <w:basedOn w:val="Fuentedeprrafopredeter"/>
    <w:link w:val="Ttulo"/>
    <w:rsid w:val="009A48B0"/>
    <w:rPr>
      <w:rFonts w:ascii="Verdana" w:eastAsia="Times New Roman" w:hAnsi="Verdana" w:cs="Times New Roman"/>
      <w:sz w:val="32"/>
      <w:szCs w:val="20"/>
      <w:lang w:eastAsia="es-ES"/>
    </w:rPr>
  </w:style>
  <w:style w:type="character" w:styleId="Textoennegrita">
    <w:name w:val="Strong"/>
    <w:qFormat/>
    <w:rsid w:val="009A48B0"/>
    <w:rPr>
      <w:b/>
      <w:bCs/>
    </w:rPr>
  </w:style>
  <w:style w:type="paragraph" w:styleId="NormalWeb">
    <w:name w:val="Normal (Web)"/>
    <w:basedOn w:val="Normal"/>
    <w:uiPriority w:val="99"/>
    <w:unhideWhenUsed/>
    <w:rsid w:val="009A48B0"/>
    <w:pPr>
      <w:spacing w:before="100" w:beforeAutospacing="1" w:after="100" w:afterAutospacing="1"/>
    </w:pPr>
    <w:rPr>
      <w:rFonts w:ascii="Times New Roman" w:eastAsia="Times New Roman" w:hAnsi="Times New Roman" w:cs="Times New Roman"/>
      <w:sz w:val="24"/>
      <w:szCs w:val="24"/>
      <w:lang w:eastAsia="es-CO"/>
    </w:rPr>
  </w:style>
  <w:style w:type="paragraph" w:customStyle="1" w:styleId="western">
    <w:name w:val="western"/>
    <w:basedOn w:val="Normal"/>
    <w:rsid w:val="009A48B0"/>
    <w:pPr>
      <w:spacing w:before="100" w:beforeAutospacing="1" w:after="100" w:afterAutospacing="1"/>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A48B0"/>
    <w:pPr>
      <w:keepNext/>
      <w:tabs>
        <w:tab w:val="center" w:pos="3968"/>
      </w:tabs>
      <w:suppressAutoHyphens/>
      <w:spacing w:line="480" w:lineRule="auto"/>
      <w:ind w:right="51"/>
      <w:jc w:val="both"/>
      <w:outlineLvl w:val="0"/>
    </w:pPr>
    <w:rPr>
      <w:rFonts w:ascii="Arial" w:eastAsia="Times New Roman" w:hAnsi="Arial" w:cs="Times New Roman"/>
      <w:b/>
      <w:spacing w:val="-3"/>
      <w:sz w:val="28"/>
      <w:szCs w:val="20"/>
      <w:lang w:val="es-ES_tradnl" w:eastAsia="es-ES"/>
    </w:rPr>
  </w:style>
  <w:style w:type="paragraph" w:styleId="Ttulo2">
    <w:name w:val="heading 2"/>
    <w:basedOn w:val="Normal"/>
    <w:next w:val="Normal"/>
    <w:link w:val="Ttulo2Car"/>
    <w:qFormat/>
    <w:rsid w:val="009A48B0"/>
    <w:pPr>
      <w:keepNext/>
      <w:jc w:val="center"/>
      <w:outlineLvl w:val="1"/>
    </w:pPr>
    <w:rPr>
      <w:rFonts w:ascii="Arial Narrow" w:eastAsia="Times New Roman" w:hAnsi="Arial Narrow" w:cs="Times New Roman"/>
      <w:b/>
      <w:sz w:val="32"/>
      <w:szCs w:val="24"/>
      <w:lang w:eastAsia="es-ES"/>
    </w:rPr>
  </w:style>
  <w:style w:type="paragraph" w:styleId="Ttulo4">
    <w:name w:val="heading 4"/>
    <w:basedOn w:val="Normal"/>
    <w:next w:val="Normal"/>
    <w:link w:val="Ttulo4Car"/>
    <w:qFormat/>
    <w:rsid w:val="009A48B0"/>
    <w:pPr>
      <w:keepNext/>
      <w:tabs>
        <w:tab w:val="center" w:pos="3968"/>
        <w:tab w:val="left" w:pos="8789"/>
      </w:tabs>
      <w:suppressAutoHyphens/>
      <w:spacing w:line="360" w:lineRule="auto"/>
      <w:ind w:right="51"/>
      <w:jc w:val="both"/>
      <w:outlineLvl w:val="3"/>
    </w:pPr>
    <w:rPr>
      <w:rFonts w:ascii="Antique Olive" w:eastAsia="Times New Roman" w:hAnsi="Antique Olive" w:cs="Times New Roman"/>
      <w:b/>
      <w:spacing w:val="-3"/>
      <w:sz w:val="24"/>
      <w:szCs w:val="20"/>
      <w:lang w:eastAsia="es-ES"/>
    </w:rPr>
  </w:style>
  <w:style w:type="paragraph" w:styleId="Ttulo5">
    <w:name w:val="heading 5"/>
    <w:basedOn w:val="Normal"/>
    <w:next w:val="Normal"/>
    <w:link w:val="Ttulo5Car"/>
    <w:qFormat/>
    <w:rsid w:val="009A48B0"/>
    <w:pPr>
      <w:keepNext/>
      <w:tabs>
        <w:tab w:val="center" w:pos="3968"/>
        <w:tab w:val="left" w:pos="8789"/>
      </w:tabs>
      <w:suppressAutoHyphens/>
      <w:spacing w:line="360" w:lineRule="auto"/>
      <w:ind w:right="51"/>
      <w:jc w:val="center"/>
      <w:outlineLvl w:val="4"/>
    </w:pPr>
    <w:rPr>
      <w:rFonts w:ascii="Antique Olive" w:eastAsia="Times New Roman" w:hAnsi="Antique Olive" w:cs="Times New Roman"/>
      <w:spacing w:val="-3"/>
      <w:sz w:val="24"/>
      <w:szCs w:val="20"/>
      <w:lang w:eastAsia="es-ES"/>
    </w:rPr>
  </w:style>
  <w:style w:type="paragraph" w:styleId="Ttulo8">
    <w:name w:val="heading 8"/>
    <w:basedOn w:val="Normal"/>
    <w:next w:val="Normal"/>
    <w:link w:val="Ttulo8Car"/>
    <w:semiHidden/>
    <w:unhideWhenUsed/>
    <w:qFormat/>
    <w:rsid w:val="009A48B0"/>
    <w:pPr>
      <w:spacing w:before="240" w:after="60"/>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A48B0"/>
    <w:rPr>
      <w:rFonts w:ascii="Arial" w:eastAsia="Times New Roman" w:hAnsi="Arial" w:cs="Times New Roman"/>
      <w:b/>
      <w:spacing w:val="-3"/>
      <w:sz w:val="28"/>
      <w:szCs w:val="20"/>
      <w:lang w:val="es-ES_tradnl" w:eastAsia="es-ES"/>
    </w:rPr>
  </w:style>
  <w:style w:type="character" w:customStyle="1" w:styleId="Ttulo2Car">
    <w:name w:val="Título 2 Car"/>
    <w:basedOn w:val="Fuentedeprrafopredeter"/>
    <w:link w:val="Ttulo2"/>
    <w:rsid w:val="009A48B0"/>
    <w:rPr>
      <w:rFonts w:ascii="Arial Narrow" w:eastAsia="Times New Roman" w:hAnsi="Arial Narrow" w:cs="Times New Roman"/>
      <w:b/>
      <w:sz w:val="32"/>
      <w:szCs w:val="24"/>
      <w:lang w:eastAsia="es-ES"/>
    </w:rPr>
  </w:style>
  <w:style w:type="character" w:customStyle="1" w:styleId="Ttulo4Car">
    <w:name w:val="Título 4 Car"/>
    <w:basedOn w:val="Fuentedeprrafopredeter"/>
    <w:link w:val="Ttulo4"/>
    <w:rsid w:val="009A48B0"/>
    <w:rPr>
      <w:rFonts w:ascii="Antique Olive" w:eastAsia="Times New Roman" w:hAnsi="Antique Olive" w:cs="Times New Roman"/>
      <w:b/>
      <w:spacing w:val="-3"/>
      <w:sz w:val="24"/>
      <w:szCs w:val="20"/>
      <w:lang w:eastAsia="es-ES"/>
    </w:rPr>
  </w:style>
  <w:style w:type="character" w:customStyle="1" w:styleId="Ttulo5Car">
    <w:name w:val="Título 5 Car"/>
    <w:basedOn w:val="Fuentedeprrafopredeter"/>
    <w:link w:val="Ttulo5"/>
    <w:rsid w:val="009A48B0"/>
    <w:rPr>
      <w:rFonts w:ascii="Antique Olive" w:eastAsia="Times New Roman" w:hAnsi="Antique Olive" w:cs="Times New Roman"/>
      <w:spacing w:val="-3"/>
      <w:sz w:val="24"/>
      <w:szCs w:val="20"/>
      <w:lang w:eastAsia="es-ES"/>
    </w:rPr>
  </w:style>
  <w:style w:type="character" w:customStyle="1" w:styleId="Ttulo8Car">
    <w:name w:val="Título 8 Car"/>
    <w:basedOn w:val="Fuentedeprrafopredeter"/>
    <w:link w:val="Ttulo8"/>
    <w:semiHidden/>
    <w:rsid w:val="009A48B0"/>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9A48B0"/>
  </w:style>
  <w:style w:type="paragraph" w:styleId="Textoindependiente">
    <w:name w:val="Body Text"/>
    <w:basedOn w:val="Normal"/>
    <w:link w:val="TextoindependienteCar"/>
    <w:rsid w:val="009A48B0"/>
    <w:pPr>
      <w:jc w:val="both"/>
    </w:pPr>
    <w:rPr>
      <w:rFonts w:ascii="Arial Narrow" w:eastAsia="Times New Roman" w:hAnsi="Arial Narrow" w:cs="Times New Roman"/>
      <w:sz w:val="32"/>
      <w:szCs w:val="24"/>
      <w:lang w:eastAsia="es-ES"/>
    </w:rPr>
  </w:style>
  <w:style w:type="character" w:customStyle="1" w:styleId="TextoindependienteCar">
    <w:name w:val="Texto independiente Car"/>
    <w:basedOn w:val="Fuentedeprrafopredeter"/>
    <w:link w:val="Textoindependiente"/>
    <w:rsid w:val="009A48B0"/>
    <w:rPr>
      <w:rFonts w:ascii="Arial Narrow" w:eastAsia="Times New Roman" w:hAnsi="Arial Narrow" w:cs="Times New Roman"/>
      <w:sz w:val="32"/>
      <w:szCs w:val="24"/>
      <w:lang w:eastAsia="es-ES"/>
    </w:rPr>
  </w:style>
  <w:style w:type="paragraph" w:styleId="Encabezado">
    <w:name w:val="header"/>
    <w:basedOn w:val="Normal"/>
    <w:link w:val="EncabezadoCar"/>
    <w:rsid w:val="009A48B0"/>
    <w:pPr>
      <w:tabs>
        <w:tab w:val="center" w:pos="4252"/>
        <w:tab w:val="right" w:pos="8504"/>
      </w:tabs>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9A48B0"/>
    <w:rPr>
      <w:rFonts w:ascii="Times New Roman" w:eastAsia="Times New Roman" w:hAnsi="Times New Roman" w:cs="Times New Roman"/>
      <w:sz w:val="24"/>
      <w:szCs w:val="24"/>
      <w:lang w:eastAsia="es-ES"/>
    </w:rPr>
  </w:style>
  <w:style w:type="paragraph" w:styleId="Piedepgina">
    <w:name w:val="footer"/>
    <w:basedOn w:val="Normal"/>
    <w:link w:val="PiedepginaCar"/>
    <w:rsid w:val="009A48B0"/>
    <w:pPr>
      <w:tabs>
        <w:tab w:val="center" w:pos="4252"/>
        <w:tab w:val="right" w:pos="8504"/>
      </w:tabs>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9A48B0"/>
    <w:rPr>
      <w:rFonts w:ascii="Times New Roman" w:eastAsia="Times New Roman" w:hAnsi="Times New Roman" w:cs="Times New Roman"/>
      <w:sz w:val="24"/>
      <w:szCs w:val="24"/>
      <w:lang w:eastAsia="es-ES"/>
    </w:rPr>
  </w:style>
  <w:style w:type="character" w:styleId="Nmerodepgina">
    <w:name w:val="page number"/>
    <w:basedOn w:val="Fuentedeprrafopredeter"/>
    <w:rsid w:val="009A48B0"/>
  </w:style>
  <w:style w:type="paragraph" w:styleId="Textosinformato">
    <w:name w:val="Plain Text"/>
    <w:basedOn w:val="Normal"/>
    <w:link w:val="TextosinformatoCar"/>
    <w:rsid w:val="009A48B0"/>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9A48B0"/>
    <w:rPr>
      <w:rFonts w:ascii="Courier New" w:eastAsia="Times New Roman" w:hAnsi="Courier New" w:cs="Courier New"/>
      <w:sz w:val="20"/>
      <w:szCs w:val="20"/>
      <w:lang w:eastAsia="es-ES"/>
    </w:rPr>
  </w:style>
  <w:style w:type="paragraph" w:styleId="Textonotapie">
    <w:name w:val="footnote text"/>
    <w:aliases w:val="Footnote Text Char Char Char Char Char,Footnote Text Char Char Char Char,Footnote reference,FA Fu,Texto nota pie Car Car Car Car Car Car Car Car Car Car Car,Texto nota pie Car Car Car,texto de nota al pie,ft,Car, Car,Ca,FA ,Car2,C"/>
    <w:basedOn w:val="Normal"/>
    <w:link w:val="TextonotapieCar1"/>
    <w:rsid w:val="009A48B0"/>
    <w:rPr>
      <w:rFonts w:ascii="Times New Roman" w:eastAsia="Times New Roman" w:hAnsi="Times New Roman" w:cs="Times New Roman"/>
      <w:sz w:val="20"/>
      <w:szCs w:val="20"/>
      <w:lang w:eastAsia="es-ES"/>
    </w:rPr>
  </w:style>
  <w:style w:type="character" w:customStyle="1" w:styleId="TextonotapieCar">
    <w:name w:val="Texto nota pie Car"/>
    <w:aliases w:val="Texto nota pie Car Car Car Car Car Car Car Car Car Car Car1,Texto nota pie Car Car Car Car Car Car Car Car Car Car Car Car Car"/>
    <w:basedOn w:val="Fuentedeprrafopredeter"/>
    <w:semiHidden/>
    <w:rsid w:val="009A48B0"/>
    <w:rPr>
      <w:sz w:val="20"/>
      <w:szCs w:val="20"/>
    </w:rPr>
  </w:style>
  <w:style w:type="character" w:styleId="Refdenotaalpie">
    <w:name w:val="footnote reference"/>
    <w:aliases w:val="Texto de nota al pie,Appel note de bas de page,referencia nota al pie,BVI fnr,Footnote symbol,Footnote,Ref. de nota al pie2,Nota de pie,Ref,de nota al pie,Pie de pagina,Ref. ...,Ref1,FC,Ref. de nota al pie 2"/>
    <w:rsid w:val="009A48B0"/>
    <w:rPr>
      <w:vertAlign w:val="superscript"/>
    </w:rPr>
  </w:style>
  <w:style w:type="paragraph" w:styleId="Textodebloque">
    <w:name w:val="Block Text"/>
    <w:basedOn w:val="Normal"/>
    <w:rsid w:val="009A48B0"/>
    <w:pPr>
      <w:spacing w:before="240" w:after="240" w:line="360" w:lineRule="auto"/>
      <w:ind w:left="709" w:right="618"/>
      <w:jc w:val="both"/>
    </w:pPr>
    <w:rPr>
      <w:rFonts w:ascii="Arial" w:eastAsia="Times New Roman" w:hAnsi="Arial" w:cs="Arial"/>
      <w:i/>
      <w:iCs/>
      <w:sz w:val="32"/>
      <w:szCs w:val="20"/>
      <w:lang w:val="es-ES_tradnl" w:eastAsia="es-ES"/>
    </w:rPr>
  </w:style>
  <w:style w:type="paragraph" w:styleId="Textoindependiente3">
    <w:name w:val="Body Text 3"/>
    <w:basedOn w:val="Normal"/>
    <w:link w:val="Textoindependiente3Car"/>
    <w:rsid w:val="009A48B0"/>
    <w:pPr>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9A48B0"/>
    <w:rPr>
      <w:rFonts w:ascii="Times New Roman" w:eastAsia="Times New Roman" w:hAnsi="Times New Roman" w:cs="Times New Roman"/>
      <w:sz w:val="16"/>
      <w:szCs w:val="16"/>
      <w:lang w:eastAsia="es-ES"/>
    </w:rPr>
  </w:style>
  <w:style w:type="paragraph" w:styleId="Textodeglobo">
    <w:name w:val="Balloon Text"/>
    <w:basedOn w:val="Normal"/>
    <w:link w:val="TextodegloboCar"/>
    <w:rsid w:val="009A48B0"/>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9A48B0"/>
    <w:rPr>
      <w:rFonts w:ascii="Tahoma" w:eastAsia="Times New Roman" w:hAnsi="Tahoma" w:cs="Tahoma"/>
      <w:sz w:val="16"/>
      <w:szCs w:val="16"/>
      <w:lang w:eastAsia="es-ES"/>
    </w:rPr>
  </w:style>
  <w:style w:type="paragraph" w:customStyle="1" w:styleId="Profesin">
    <w:name w:val="ProfesiÛn"/>
    <w:basedOn w:val="Normal"/>
    <w:rsid w:val="009A48B0"/>
    <w:pPr>
      <w:tabs>
        <w:tab w:val="left" w:pos="1134"/>
      </w:tabs>
      <w:spacing w:line="360" w:lineRule="atLeast"/>
      <w:jc w:val="center"/>
    </w:pPr>
    <w:rPr>
      <w:rFonts w:ascii="Arial" w:eastAsia="Times New Roman" w:hAnsi="Arial" w:cs="Times New Roman"/>
      <w:b/>
      <w:sz w:val="32"/>
      <w:szCs w:val="20"/>
      <w:lang w:eastAsia="es-ES"/>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Texto nota pie Car Car Car Car,texto de nota al pie Car"/>
    <w:link w:val="Textonotapie"/>
    <w:rsid w:val="009A48B0"/>
    <w:rPr>
      <w:rFonts w:ascii="Times New Roman" w:eastAsia="Times New Roman" w:hAnsi="Times New Roman" w:cs="Times New Roman"/>
      <w:sz w:val="20"/>
      <w:szCs w:val="20"/>
      <w:lang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9A48B0"/>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9A48B0"/>
    <w:pPr>
      <w:spacing w:after="120"/>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9A48B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A48B0"/>
    <w:pPr>
      <w:ind w:left="720"/>
      <w:contextualSpacing/>
    </w:pPr>
    <w:rPr>
      <w:rFonts w:ascii="Times New Roman" w:eastAsia="Times New Roman" w:hAnsi="Times New Roman" w:cs="Times New Roman"/>
      <w:sz w:val="24"/>
      <w:szCs w:val="24"/>
      <w:lang w:eastAsia="es-ES"/>
    </w:rPr>
  </w:style>
  <w:style w:type="paragraph" w:styleId="Sinespaciado">
    <w:name w:val="No Spacing"/>
    <w:uiPriority w:val="1"/>
    <w:qFormat/>
    <w:rsid w:val="009A48B0"/>
    <w:rPr>
      <w:rFonts w:ascii="Calibri" w:eastAsia="Times New Roman" w:hAnsi="Calibri" w:cs="Times New Roman"/>
      <w:lang w:val="en-US"/>
    </w:rPr>
  </w:style>
  <w:style w:type="paragraph" w:styleId="Textoindependiente2">
    <w:name w:val="Body Text 2"/>
    <w:basedOn w:val="Normal"/>
    <w:link w:val="Textoindependiente2Car"/>
    <w:uiPriority w:val="99"/>
    <w:unhideWhenUsed/>
    <w:rsid w:val="009A48B0"/>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9A48B0"/>
    <w:rPr>
      <w:rFonts w:ascii="Times New Roman" w:eastAsia="Times New Roman" w:hAnsi="Times New Roman" w:cs="Times New Roman"/>
      <w:sz w:val="24"/>
      <w:szCs w:val="24"/>
      <w:lang w:eastAsia="es-ES"/>
    </w:rPr>
  </w:style>
  <w:style w:type="paragraph" w:customStyle="1" w:styleId="Textosinformato1">
    <w:name w:val="Texto sin formato1"/>
    <w:basedOn w:val="Normal"/>
    <w:rsid w:val="009A48B0"/>
    <w:rPr>
      <w:rFonts w:ascii="Courier New" w:eastAsia="Times New Roman" w:hAnsi="Courier New" w:cs="Times New Roman"/>
      <w:sz w:val="20"/>
      <w:szCs w:val="20"/>
      <w:lang w:eastAsia="es-ES"/>
    </w:rPr>
  </w:style>
  <w:style w:type="character" w:customStyle="1" w:styleId="textonavy">
    <w:name w:val="texto_navy"/>
    <w:basedOn w:val="Fuentedeprrafopredeter"/>
    <w:rsid w:val="009A48B0"/>
  </w:style>
  <w:style w:type="character" w:styleId="Hipervnculo">
    <w:name w:val="Hyperlink"/>
    <w:basedOn w:val="Fuentedeprrafopredeter"/>
    <w:uiPriority w:val="99"/>
    <w:unhideWhenUsed/>
    <w:rsid w:val="009A48B0"/>
    <w:rPr>
      <w:color w:val="0000FF"/>
      <w:u w:val="single"/>
    </w:rPr>
  </w:style>
  <w:style w:type="paragraph" w:styleId="Sangra2detindependiente">
    <w:name w:val="Body Text Indent 2"/>
    <w:basedOn w:val="Normal"/>
    <w:link w:val="Sangra2detindependienteCar"/>
    <w:rsid w:val="009A48B0"/>
    <w:pPr>
      <w:spacing w:after="120" w:line="480" w:lineRule="auto"/>
      <w:ind w:left="283"/>
    </w:pPr>
    <w:rPr>
      <w:rFonts w:ascii="Calibri" w:eastAsia="Calibri" w:hAnsi="Calibri" w:cs="Times New Roman"/>
    </w:rPr>
  </w:style>
  <w:style w:type="character" w:customStyle="1" w:styleId="Sangra2detindependienteCar">
    <w:name w:val="Sangría 2 de t. independiente Car"/>
    <w:basedOn w:val="Fuentedeprrafopredeter"/>
    <w:link w:val="Sangra2detindependiente"/>
    <w:rsid w:val="009A48B0"/>
    <w:rPr>
      <w:rFonts w:ascii="Calibri" w:eastAsia="Calibri" w:hAnsi="Calibri" w:cs="Times New Roman"/>
    </w:rPr>
  </w:style>
  <w:style w:type="character" w:customStyle="1" w:styleId="textonavy1">
    <w:name w:val="texto_navy1"/>
    <w:rsid w:val="009A48B0"/>
    <w:rPr>
      <w:color w:val="000080"/>
    </w:rPr>
  </w:style>
  <w:style w:type="paragraph" w:styleId="Ttulo">
    <w:name w:val="Title"/>
    <w:basedOn w:val="Normal"/>
    <w:link w:val="TtuloCar"/>
    <w:qFormat/>
    <w:rsid w:val="009A48B0"/>
    <w:pPr>
      <w:jc w:val="center"/>
    </w:pPr>
    <w:rPr>
      <w:rFonts w:ascii="Verdana" w:eastAsia="Times New Roman" w:hAnsi="Verdana" w:cs="Times New Roman"/>
      <w:sz w:val="32"/>
      <w:szCs w:val="20"/>
      <w:lang w:eastAsia="es-ES"/>
    </w:rPr>
  </w:style>
  <w:style w:type="character" w:customStyle="1" w:styleId="TtuloCar">
    <w:name w:val="Título Car"/>
    <w:basedOn w:val="Fuentedeprrafopredeter"/>
    <w:link w:val="Ttulo"/>
    <w:rsid w:val="009A48B0"/>
    <w:rPr>
      <w:rFonts w:ascii="Verdana" w:eastAsia="Times New Roman" w:hAnsi="Verdana" w:cs="Times New Roman"/>
      <w:sz w:val="32"/>
      <w:szCs w:val="20"/>
      <w:lang w:eastAsia="es-ES"/>
    </w:rPr>
  </w:style>
  <w:style w:type="character" w:styleId="Textoennegrita">
    <w:name w:val="Strong"/>
    <w:qFormat/>
    <w:rsid w:val="009A48B0"/>
    <w:rPr>
      <w:b/>
      <w:bCs/>
    </w:rPr>
  </w:style>
  <w:style w:type="paragraph" w:styleId="NormalWeb">
    <w:name w:val="Normal (Web)"/>
    <w:basedOn w:val="Normal"/>
    <w:uiPriority w:val="99"/>
    <w:unhideWhenUsed/>
    <w:rsid w:val="009A48B0"/>
    <w:pPr>
      <w:spacing w:before="100" w:beforeAutospacing="1" w:after="100" w:afterAutospacing="1"/>
    </w:pPr>
    <w:rPr>
      <w:rFonts w:ascii="Times New Roman" w:eastAsia="Times New Roman" w:hAnsi="Times New Roman" w:cs="Times New Roman"/>
      <w:sz w:val="24"/>
      <w:szCs w:val="24"/>
      <w:lang w:eastAsia="es-CO"/>
    </w:rPr>
  </w:style>
  <w:style w:type="paragraph" w:customStyle="1" w:styleId="western">
    <w:name w:val="western"/>
    <w:basedOn w:val="Normal"/>
    <w:rsid w:val="009A48B0"/>
    <w:pPr>
      <w:spacing w:before="100" w:beforeAutospacing="1" w:after="100" w:afterAutospacing="1"/>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5422</Words>
  <Characters>29824</Characters>
  <Application>Microsoft Office Word</Application>
  <DocSecurity>8</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Ramirez Melo</dc:creator>
  <cp:lastModifiedBy>Diana Marcela Ramirez Melo</cp:lastModifiedBy>
  <cp:revision>3</cp:revision>
  <dcterms:created xsi:type="dcterms:W3CDTF">2014-10-23T21:52:00Z</dcterms:created>
  <dcterms:modified xsi:type="dcterms:W3CDTF">2014-10-24T14:19:00Z</dcterms:modified>
</cp:coreProperties>
</file>