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233" w:rsidRDefault="00DD1233" w:rsidP="00E4138C">
      <w:pPr>
        <w:spacing w:line="360" w:lineRule="auto"/>
        <w:jc w:val="center"/>
        <w:rPr>
          <w:rFonts w:ascii="Bookman Old Style" w:hAnsi="Bookman Old Style" w:cs="Arial"/>
          <w:b/>
          <w:sz w:val="28"/>
          <w:szCs w:val="28"/>
          <w:lang w:val="es-MX"/>
        </w:rPr>
      </w:pPr>
      <w:bookmarkStart w:id="0" w:name="_GoBack"/>
      <w:bookmarkEnd w:id="0"/>
    </w:p>
    <w:p w:rsidR="003134B5" w:rsidRDefault="00927134" w:rsidP="00E4138C">
      <w:pPr>
        <w:spacing w:line="360" w:lineRule="auto"/>
        <w:jc w:val="center"/>
        <w:rPr>
          <w:rFonts w:ascii="Bookman Old Style" w:hAnsi="Bookman Old Style" w:cs="Arial"/>
          <w:b/>
          <w:sz w:val="28"/>
          <w:szCs w:val="28"/>
          <w:lang w:val="es-MX"/>
        </w:rPr>
      </w:pPr>
      <w:r>
        <w:rPr>
          <w:rFonts w:ascii="Bookman Old Style" w:hAnsi="Bookman Old Style" w:cs="Arial"/>
          <w:b/>
          <w:sz w:val="28"/>
          <w:szCs w:val="28"/>
          <w:lang w:val="es-MX"/>
        </w:rPr>
        <w:t>LUIS ANTONIO HERNÁNDEZ BARBOSA</w:t>
      </w:r>
    </w:p>
    <w:p w:rsidR="00476FA3" w:rsidRPr="00A84099" w:rsidRDefault="0099579D" w:rsidP="00E4138C">
      <w:pPr>
        <w:spacing w:line="360" w:lineRule="auto"/>
        <w:jc w:val="center"/>
        <w:rPr>
          <w:rFonts w:ascii="Bookman Old Style" w:hAnsi="Bookman Old Style" w:cs="Arial"/>
          <w:b/>
          <w:sz w:val="28"/>
          <w:szCs w:val="28"/>
          <w:lang w:val="es-MX"/>
        </w:rPr>
      </w:pPr>
      <w:r>
        <w:rPr>
          <w:rFonts w:ascii="Bookman Old Style" w:hAnsi="Bookman Old Style" w:cs="Arial"/>
          <w:b/>
          <w:sz w:val="28"/>
          <w:szCs w:val="28"/>
          <w:lang w:val="es-MX"/>
        </w:rPr>
        <w:t>Magistrado</w:t>
      </w:r>
    </w:p>
    <w:p w:rsidR="00E93ED7" w:rsidRDefault="00E93ED7" w:rsidP="00E4138C">
      <w:pPr>
        <w:spacing w:line="360" w:lineRule="auto"/>
        <w:jc w:val="center"/>
        <w:rPr>
          <w:rFonts w:ascii="Bookman Old Style" w:hAnsi="Bookman Old Style" w:cs="Arial"/>
          <w:sz w:val="28"/>
          <w:szCs w:val="28"/>
          <w:lang w:val="es-MX"/>
        </w:rPr>
      </w:pPr>
    </w:p>
    <w:p w:rsidR="002D673D" w:rsidRDefault="002D673D" w:rsidP="00E4138C">
      <w:pPr>
        <w:spacing w:line="360" w:lineRule="auto"/>
        <w:jc w:val="center"/>
        <w:rPr>
          <w:rFonts w:ascii="Bookman Old Style" w:hAnsi="Bookman Old Style" w:cs="Arial"/>
          <w:sz w:val="28"/>
          <w:szCs w:val="28"/>
          <w:lang w:val="es-MX"/>
        </w:rPr>
      </w:pPr>
    </w:p>
    <w:p w:rsidR="002D673D" w:rsidRDefault="002E2243" w:rsidP="00E4138C">
      <w:pPr>
        <w:spacing w:line="360" w:lineRule="auto"/>
        <w:jc w:val="center"/>
        <w:rPr>
          <w:rFonts w:ascii="Bookman Old Style" w:hAnsi="Bookman Old Style" w:cs="Arial"/>
          <w:b/>
          <w:sz w:val="28"/>
          <w:szCs w:val="28"/>
          <w:lang w:val="es-MX"/>
        </w:rPr>
      </w:pPr>
      <w:r w:rsidRPr="002E2243">
        <w:rPr>
          <w:rFonts w:ascii="Bookman Old Style" w:hAnsi="Bookman Old Style" w:cs="Arial"/>
          <w:b/>
          <w:sz w:val="28"/>
          <w:szCs w:val="28"/>
          <w:lang w:val="es-MX"/>
        </w:rPr>
        <w:t>AP699-2018</w:t>
      </w:r>
    </w:p>
    <w:p w:rsidR="008644E9" w:rsidRDefault="00340212" w:rsidP="00E4138C">
      <w:pPr>
        <w:spacing w:line="360" w:lineRule="auto"/>
        <w:jc w:val="center"/>
        <w:rPr>
          <w:rFonts w:ascii="Bookman Old Style" w:hAnsi="Bookman Old Style" w:cs="Arial"/>
          <w:b/>
          <w:sz w:val="28"/>
          <w:szCs w:val="28"/>
          <w:lang w:val="es-MX"/>
        </w:rPr>
      </w:pPr>
      <w:r>
        <w:rPr>
          <w:rFonts w:ascii="Bookman Old Style" w:hAnsi="Bookman Old Style" w:cs="Arial"/>
          <w:b/>
          <w:sz w:val="28"/>
          <w:szCs w:val="28"/>
          <w:lang w:val="es-MX"/>
        </w:rPr>
        <w:t>Radicación No.: 51677</w:t>
      </w:r>
    </w:p>
    <w:p w:rsidR="00A7347A" w:rsidRPr="00A84099" w:rsidRDefault="00A7347A" w:rsidP="00CD00D3">
      <w:pPr>
        <w:spacing w:line="360" w:lineRule="auto"/>
        <w:rPr>
          <w:rFonts w:ascii="Bookman Old Style" w:hAnsi="Bookman Old Style" w:cs="Arial"/>
          <w:sz w:val="28"/>
          <w:szCs w:val="28"/>
          <w:lang w:val="es-MX"/>
        </w:rPr>
      </w:pPr>
    </w:p>
    <w:p w:rsidR="00E93ED7" w:rsidRPr="00A84099" w:rsidRDefault="008C647E" w:rsidP="00E4138C">
      <w:pPr>
        <w:spacing w:line="360" w:lineRule="auto"/>
        <w:ind w:firstLine="708"/>
        <w:jc w:val="both"/>
        <w:rPr>
          <w:rFonts w:ascii="Bookman Old Style" w:hAnsi="Bookman Old Style" w:cs="Arial"/>
          <w:sz w:val="28"/>
          <w:szCs w:val="28"/>
        </w:rPr>
      </w:pPr>
      <w:r w:rsidRPr="00A84099">
        <w:rPr>
          <w:rFonts w:ascii="Bookman Old Style" w:hAnsi="Bookman Old Style" w:cs="Arial"/>
          <w:sz w:val="28"/>
          <w:szCs w:val="28"/>
          <w:lang w:val="pt-BR"/>
        </w:rPr>
        <w:t>Bogotá D.C.,</w:t>
      </w:r>
      <w:r w:rsidR="00927134">
        <w:rPr>
          <w:rFonts w:ascii="Bookman Old Style" w:hAnsi="Bookman Old Style" w:cs="Arial"/>
          <w:sz w:val="28"/>
          <w:szCs w:val="28"/>
          <w:lang w:val="pt-BR"/>
        </w:rPr>
        <w:t xml:space="preserve"> </w:t>
      </w:r>
      <w:r w:rsidR="002E2243">
        <w:rPr>
          <w:rFonts w:ascii="Bookman Old Style" w:hAnsi="Bookman Old Style" w:cs="Arial"/>
          <w:sz w:val="28"/>
          <w:szCs w:val="28"/>
          <w:lang w:val="pt-BR"/>
        </w:rPr>
        <w:t>catorce</w:t>
      </w:r>
      <w:r w:rsidRPr="00A84099">
        <w:rPr>
          <w:rFonts w:ascii="Bookman Old Style" w:hAnsi="Bookman Old Style" w:cs="Arial"/>
          <w:sz w:val="28"/>
          <w:szCs w:val="28"/>
          <w:lang w:val="pt-BR"/>
        </w:rPr>
        <w:t xml:space="preserve"> (</w:t>
      </w:r>
      <w:r w:rsidR="002E2243">
        <w:rPr>
          <w:rFonts w:ascii="Bookman Old Style" w:hAnsi="Bookman Old Style" w:cs="Arial"/>
          <w:sz w:val="28"/>
          <w:szCs w:val="28"/>
          <w:lang w:val="pt-BR"/>
        </w:rPr>
        <w:t>14</w:t>
      </w:r>
      <w:r w:rsidRPr="00A84099">
        <w:rPr>
          <w:rFonts w:ascii="Bookman Old Style" w:hAnsi="Bookman Old Style" w:cs="Arial"/>
          <w:sz w:val="28"/>
          <w:szCs w:val="28"/>
          <w:lang w:val="pt-BR"/>
        </w:rPr>
        <w:t xml:space="preserve">) de </w:t>
      </w:r>
      <w:r w:rsidR="00340212">
        <w:rPr>
          <w:rFonts w:ascii="Bookman Old Style" w:hAnsi="Bookman Old Style" w:cs="Arial"/>
          <w:sz w:val="28"/>
          <w:szCs w:val="28"/>
        </w:rPr>
        <w:t>febrero</w:t>
      </w:r>
      <w:r w:rsidR="002B142E">
        <w:rPr>
          <w:rFonts w:ascii="Bookman Old Style" w:hAnsi="Bookman Old Style" w:cs="Arial"/>
          <w:sz w:val="28"/>
          <w:szCs w:val="28"/>
        </w:rPr>
        <w:t xml:space="preserve"> </w:t>
      </w:r>
      <w:r w:rsidRPr="00A84099">
        <w:rPr>
          <w:rFonts w:ascii="Bookman Old Style" w:hAnsi="Bookman Old Style" w:cs="Arial"/>
          <w:sz w:val="28"/>
          <w:szCs w:val="28"/>
          <w:lang w:val="pt-BR"/>
        </w:rPr>
        <w:t xml:space="preserve">de dos mil </w:t>
      </w:r>
      <w:r w:rsidR="002B142E">
        <w:rPr>
          <w:rFonts w:ascii="Bookman Old Style" w:hAnsi="Bookman Old Style" w:cs="Arial"/>
          <w:sz w:val="28"/>
          <w:szCs w:val="28"/>
        </w:rPr>
        <w:t>dieciocho</w:t>
      </w:r>
      <w:r w:rsidR="002D673D">
        <w:rPr>
          <w:rFonts w:ascii="Bookman Old Style" w:hAnsi="Bookman Old Style" w:cs="Arial"/>
          <w:sz w:val="28"/>
          <w:szCs w:val="28"/>
        </w:rPr>
        <w:t xml:space="preserve"> </w:t>
      </w:r>
      <w:r w:rsidRPr="00A84099">
        <w:rPr>
          <w:rFonts w:ascii="Bookman Old Style" w:hAnsi="Bookman Old Style" w:cs="Arial"/>
          <w:sz w:val="28"/>
          <w:szCs w:val="28"/>
        </w:rPr>
        <w:t>(20</w:t>
      </w:r>
      <w:r w:rsidR="00065464" w:rsidRPr="00A84099">
        <w:rPr>
          <w:rFonts w:ascii="Bookman Old Style" w:hAnsi="Bookman Old Style" w:cs="Arial"/>
          <w:sz w:val="28"/>
          <w:szCs w:val="28"/>
        </w:rPr>
        <w:t>1</w:t>
      </w:r>
      <w:r w:rsidR="002B142E">
        <w:rPr>
          <w:rFonts w:ascii="Bookman Old Style" w:hAnsi="Bookman Old Style" w:cs="Arial"/>
          <w:sz w:val="28"/>
          <w:szCs w:val="28"/>
        </w:rPr>
        <w:t>8</w:t>
      </w:r>
      <w:r w:rsidRPr="00A84099">
        <w:rPr>
          <w:rFonts w:ascii="Bookman Old Style" w:hAnsi="Bookman Old Style" w:cs="Arial"/>
          <w:sz w:val="28"/>
          <w:szCs w:val="28"/>
        </w:rPr>
        <w:t>)</w:t>
      </w:r>
      <w:r w:rsidR="0086786D">
        <w:rPr>
          <w:rFonts w:ascii="Bookman Old Style" w:hAnsi="Bookman Old Style" w:cs="Arial"/>
          <w:sz w:val="28"/>
          <w:szCs w:val="28"/>
        </w:rPr>
        <w:t>.</w:t>
      </w:r>
    </w:p>
    <w:p w:rsidR="008644E9" w:rsidRDefault="008644E9" w:rsidP="00E4138C">
      <w:pPr>
        <w:spacing w:line="360" w:lineRule="auto"/>
        <w:rPr>
          <w:rFonts w:ascii="Bookman Old Style" w:hAnsi="Bookman Old Style" w:cs="Arial"/>
          <w:sz w:val="28"/>
          <w:szCs w:val="28"/>
        </w:rPr>
      </w:pPr>
    </w:p>
    <w:p w:rsidR="008644E9" w:rsidRPr="008644E9" w:rsidRDefault="008644E9" w:rsidP="00E4138C">
      <w:pPr>
        <w:spacing w:line="360" w:lineRule="auto"/>
        <w:jc w:val="center"/>
        <w:rPr>
          <w:rFonts w:ascii="Bookman Old Style" w:hAnsi="Bookman Old Style" w:cs="Arial"/>
          <w:b/>
          <w:sz w:val="28"/>
          <w:szCs w:val="28"/>
        </w:rPr>
      </w:pPr>
      <w:r w:rsidRPr="008644E9">
        <w:rPr>
          <w:rFonts w:ascii="Bookman Old Style" w:hAnsi="Bookman Old Style" w:cs="Arial"/>
          <w:b/>
          <w:sz w:val="28"/>
          <w:szCs w:val="28"/>
        </w:rPr>
        <w:t>VISTOS</w:t>
      </w:r>
      <w:r w:rsidR="00695648">
        <w:rPr>
          <w:rFonts w:ascii="Bookman Old Style" w:hAnsi="Bookman Old Style" w:cs="Arial"/>
          <w:b/>
          <w:sz w:val="28"/>
          <w:szCs w:val="28"/>
        </w:rPr>
        <w:t>:</w:t>
      </w:r>
    </w:p>
    <w:p w:rsidR="00A7347A" w:rsidRPr="00A84099" w:rsidRDefault="00A7347A" w:rsidP="00E4138C">
      <w:pPr>
        <w:spacing w:line="360" w:lineRule="auto"/>
        <w:rPr>
          <w:rFonts w:ascii="Bookman Old Style" w:hAnsi="Bookman Old Style" w:cs="Arial"/>
          <w:sz w:val="28"/>
          <w:szCs w:val="28"/>
        </w:rPr>
      </w:pPr>
    </w:p>
    <w:p w:rsidR="008644E9" w:rsidRDefault="008644E9" w:rsidP="00E4138C">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 xml:space="preserve">Se </w:t>
      </w:r>
      <w:r w:rsidR="005830A3">
        <w:rPr>
          <w:rFonts w:ascii="Bookman Old Style" w:hAnsi="Bookman Old Style" w:cs="Arial"/>
          <w:sz w:val="28"/>
          <w:szCs w:val="28"/>
          <w:lang w:val="es-MX"/>
        </w:rPr>
        <w:t xml:space="preserve">resuelve </w:t>
      </w:r>
      <w:r w:rsidR="00CB7D2F">
        <w:rPr>
          <w:rFonts w:ascii="Bookman Old Style" w:hAnsi="Bookman Old Style" w:cs="Arial"/>
          <w:sz w:val="28"/>
          <w:szCs w:val="28"/>
          <w:lang w:val="es-MX"/>
        </w:rPr>
        <w:t xml:space="preserve">el recurso de apelación interpuesto por el </w:t>
      </w:r>
      <w:r w:rsidR="00340212">
        <w:rPr>
          <w:rFonts w:ascii="Bookman Old Style" w:hAnsi="Bookman Old Style" w:cs="Arial"/>
          <w:sz w:val="28"/>
          <w:szCs w:val="28"/>
          <w:lang w:val="es-MX"/>
        </w:rPr>
        <w:t>repre</w:t>
      </w:r>
      <w:r w:rsidR="00EB6118">
        <w:rPr>
          <w:rFonts w:ascii="Bookman Old Style" w:hAnsi="Bookman Old Style" w:cs="Arial"/>
          <w:sz w:val="28"/>
          <w:szCs w:val="28"/>
          <w:lang w:val="es-MX"/>
        </w:rPr>
        <w:t>sentante del Ministerio Público</w:t>
      </w:r>
      <w:r w:rsidR="00340212">
        <w:rPr>
          <w:rFonts w:ascii="Bookman Old Style" w:hAnsi="Bookman Old Style" w:cs="Arial"/>
          <w:sz w:val="28"/>
          <w:szCs w:val="28"/>
          <w:lang w:val="es-MX"/>
        </w:rPr>
        <w:t xml:space="preserve"> </w:t>
      </w:r>
      <w:r w:rsidR="00BE359D">
        <w:rPr>
          <w:rFonts w:ascii="Bookman Old Style" w:hAnsi="Bookman Old Style" w:cs="Arial"/>
          <w:sz w:val="28"/>
          <w:szCs w:val="28"/>
          <w:lang w:val="es-MX"/>
        </w:rPr>
        <w:t>contra el auto</w:t>
      </w:r>
      <w:r w:rsidR="00B63FA3">
        <w:rPr>
          <w:rFonts w:ascii="Bookman Old Style" w:hAnsi="Bookman Old Style" w:cs="Arial"/>
          <w:sz w:val="28"/>
          <w:szCs w:val="28"/>
          <w:lang w:val="es-MX"/>
        </w:rPr>
        <w:t xml:space="preserve"> </w:t>
      </w:r>
      <w:r w:rsidR="00BE359D">
        <w:rPr>
          <w:rFonts w:ascii="Bookman Old Style" w:hAnsi="Bookman Old Style" w:cs="Arial"/>
          <w:sz w:val="28"/>
          <w:szCs w:val="28"/>
          <w:lang w:val="es-MX"/>
        </w:rPr>
        <w:t xml:space="preserve">proferido por </w:t>
      </w:r>
      <w:r w:rsidR="00B63FA3">
        <w:rPr>
          <w:rFonts w:ascii="Bookman Old Style" w:hAnsi="Bookman Old Style" w:cs="Arial"/>
          <w:sz w:val="28"/>
          <w:szCs w:val="28"/>
          <w:lang w:val="es-MX"/>
        </w:rPr>
        <w:t xml:space="preserve">el Tribunal Superior de </w:t>
      </w:r>
      <w:r w:rsidR="00340212">
        <w:rPr>
          <w:rFonts w:ascii="Bookman Old Style" w:hAnsi="Bookman Old Style" w:cs="Arial"/>
          <w:sz w:val="28"/>
          <w:szCs w:val="28"/>
          <w:lang w:val="es-MX"/>
        </w:rPr>
        <w:t>Montería</w:t>
      </w:r>
      <w:r w:rsidR="00EB6118">
        <w:rPr>
          <w:rFonts w:ascii="Bookman Old Style" w:hAnsi="Bookman Old Style" w:cs="Arial"/>
          <w:sz w:val="28"/>
          <w:szCs w:val="28"/>
          <w:lang w:val="es-MX"/>
        </w:rPr>
        <w:t xml:space="preserve">, mediante el cual </w:t>
      </w:r>
      <w:r w:rsidR="00BE359D">
        <w:rPr>
          <w:rFonts w:ascii="Bookman Old Style" w:hAnsi="Bookman Old Style" w:cs="Arial"/>
          <w:sz w:val="28"/>
          <w:szCs w:val="28"/>
          <w:lang w:val="es-MX"/>
        </w:rPr>
        <w:t>repuso el decreto de pruebas para, en su lugar, rechazar e inadmitir</w:t>
      </w:r>
      <w:r w:rsidR="00340212">
        <w:rPr>
          <w:rFonts w:ascii="Bookman Old Style" w:hAnsi="Bookman Old Style" w:cs="Arial"/>
          <w:sz w:val="28"/>
          <w:szCs w:val="28"/>
          <w:lang w:val="es-MX"/>
        </w:rPr>
        <w:t xml:space="preserve"> </w:t>
      </w:r>
      <w:r w:rsidR="00E86BBA">
        <w:rPr>
          <w:rFonts w:ascii="Bookman Old Style" w:hAnsi="Bookman Old Style" w:cs="Arial"/>
          <w:sz w:val="28"/>
          <w:szCs w:val="28"/>
          <w:lang w:val="es-MX"/>
        </w:rPr>
        <w:t>algunas de las solicitadas por la Fiscalía</w:t>
      </w:r>
      <w:r w:rsidR="00340212">
        <w:rPr>
          <w:rFonts w:ascii="Bookman Old Style" w:hAnsi="Bookman Old Style" w:cs="Arial"/>
          <w:sz w:val="28"/>
          <w:szCs w:val="28"/>
          <w:lang w:val="es-MX"/>
        </w:rPr>
        <w:t>.</w:t>
      </w:r>
    </w:p>
    <w:p w:rsidR="008644E9" w:rsidRPr="008644E9" w:rsidRDefault="008644E9" w:rsidP="00476FA3">
      <w:pPr>
        <w:spacing w:line="360" w:lineRule="auto"/>
        <w:rPr>
          <w:rFonts w:ascii="Bookman Old Style" w:hAnsi="Bookman Old Style" w:cs="Arial"/>
          <w:b/>
          <w:sz w:val="28"/>
          <w:szCs w:val="28"/>
          <w:lang w:val="es-MX"/>
        </w:rPr>
      </w:pPr>
    </w:p>
    <w:p w:rsidR="008644E9" w:rsidRPr="008644E9" w:rsidRDefault="008644E9" w:rsidP="00E4138C">
      <w:pPr>
        <w:spacing w:line="360" w:lineRule="auto"/>
        <w:jc w:val="center"/>
        <w:rPr>
          <w:rFonts w:ascii="Bookman Old Style" w:hAnsi="Bookman Old Style" w:cs="Arial"/>
          <w:b/>
          <w:sz w:val="28"/>
          <w:szCs w:val="28"/>
          <w:lang w:val="es-MX"/>
        </w:rPr>
      </w:pPr>
      <w:r w:rsidRPr="008644E9">
        <w:rPr>
          <w:rFonts w:ascii="Bookman Old Style" w:hAnsi="Bookman Old Style" w:cs="Arial"/>
          <w:b/>
          <w:sz w:val="28"/>
          <w:szCs w:val="28"/>
          <w:lang w:val="es-MX"/>
        </w:rPr>
        <w:t>ANTECEDENTES</w:t>
      </w:r>
      <w:r w:rsidR="00695648">
        <w:rPr>
          <w:rFonts w:ascii="Bookman Old Style" w:hAnsi="Bookman Old Style" w:cs="Arial"/>
          <w:b/>
          <w:sz w:val="28"/>
          <w:szCs w:val="28"/>
          <w:lang w:val="es-MX"/>
        </w:rPr>
        <w:t>:</w:t>
      </w:r>
    </w:p>
    <w:p w:rsidR="008644E9" w:rsidRPr="008644E9" w:rsidRDefault="008644E9" w:rsidP="00E4138C">
      <w:pPr>
        <w:spacing w:line="360" w:lineRule="auto"/>
        <w:jc w:val="both"/>
        <w:rPr>
          <w:rFonts w:ascii="Bookman Old Style" w:hAnsi="Bookman Old Style" w:cs="Arial"/>
          <w:b/>
          <w:sz w:val="28"/>
          <w:szCs w:val="28"/>
          <w:lang w:val="es-MX"/>
        </w:rPr>
      </w:pPr>
    </w:p>
    <w:p w:rsidR="00ED4F9C" w:rsidRDefault="00DB7B2E"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 xml:space="preserve">1. </w:t>
      </w:r>
      <w:r>
        <w:rPr>
          <w:rFonts w:ascii="Bookman Old Style" w:hAnsi="Bookman Old Style" w:cs="Arial"/>
          <w:sz w:val="28"/>
          <w:szCs w:val="28"/>
          <w:lang w:val="es-MX"/>
        </w:rPr>
        <w:tab/>
      </w:r>
      <w:r w:rsidR="000C3DF5">
        <w:rPr>
          <w:rFonts w:ascii="Bookman Old Style" w:hAnsi="Bookman Old Style" w:cs="Arial"/>
          <w:sz w:val="28"/>
          <w:szCs w:val="28"/>
          <w:lang w:val="es-MX"/>
        </w:rPr>
        <w:t>La Fiscalía General de la Nación adelanta investigación penal c</w:t>
      </w:r>
      <w:r w:rsidR="00E86BBA">
        <w:rPr>
          <w:rFonts w:ascii="Bookman Old Style" w:hAnsi="Bookman Old Style" w:cs="Arial"/>
          <w:sz w:val="28"/>
          <w:szCs w:val="28"/>
          <w:lang w:val="es-MX"/>
        </w:rPr>
        <w:t>ontra MANUEL GREGORIO HERAZO JIMÉNEZ</w:t>
      </w:r>
      <w:r w:rsidR="000C3DF5">
        <w:rPr>
          <w:rFonts w:ascii="Bookman Old Style" w:hAnsi="Bookman Old Style" w:cs="Arial"/>
          <w:sz w:val="28"/>
          <w:szCs w:val="28"/>
          <w:lang w:val="es-MX"/>
        </w:rPr>
        <w:t xml:space="preserve">, </w:t>
      </w:r>
      <w:r w:rsidR="00695648">
        <w:rPr>
          <w:rFonts w:ascii="Bookman Old Style" w:hAnsi="Bookman Old Style" w:cs="Arial"/>
          <w:sz w:val="28"/>
          <w:szCs w:val="28"/>
          <w:lang w:val="es-MX"/>
        </w:rPr>
        <w:t xml:space="preserve">por hechos ocurridos </w:t>
      </w:r>
      <w:r w:rsidR="000C3DF5">
        <w:rPr>
          <w:rFonts w:ascii="Bookman Old Style" w:hAnsi="Bookman Old Style" w:cs="Arial"/>
          <w:sz w:val="28"/>
          <w:szCs w:val="28"/>
          <w:lang w:val="es-MX"/>
        </w:rPr>
        <w:t>en noviembre de 2009</w:t>
      </w:r>
      <w:r w:rsidR="00695648">
        <w:rPr>
          <w:rFonts w:ascii="Bookman Old Style" w:hAnsi="Bookman Old Style" w:cs="Arial"/>
          <w:sz w:val="28"/>
          <w:szCs w:val="28"/>
          <w:lang w:val="es-MX"/>
        </w:rPr>
        <w:t xml:space="preserve"> </w:t>
      </w:r>
      <w:r w:rsidR="000C3DF5">
        <w:rPr>
          <w:rFonts w:ascii="Bookman Old Style" w:hAnsi="Bookman Old Style" w:cs="Arial"/>
          <w:sz w:val="28"/>
          <w:szCs w:val="28"/>
          <w:lang w:val="es-MX"/>
        </w:rPr>
        <w:t xml:space="preserve">cuando se desempeñaba como </w:t>
      </w:r>
      <w:r w:rsidR="00695648">
        <w:rPr>
          <w:rFonts w:ascii="Bookman Old Style" w:hAnsi="Bookman Old Style" w:cs="Arial"/>
          <w:sz w:val="28"/>
          <w:szCs w:val="28"/>
          <w:lang w:val="es-MX"/>
        </w:rPr>
        <w:t>Juez Civil del Circuito de</w:t>
      </w:r>
      <w:r w:rsidR="000C3DF5">
        <w:rPr>
          <w:rFonts w:ascii="Bookman Old Style" w:hAnsi="Bookman Old Style" w:cs="Arial"/>
          <w:sz w:val="28"/>
          <w:szCs w:val="28"/>
          <w:lang w:val="es-MX"/>
        </w:rPr>
        <w:t xml:space="preserve"> Lorica, época para la cual, </w:t>
      </w:r>
      <w:r w:rsidR="00F56D48">
        <w:rPr>
          <w:rFonts w:ascii="Bookman Old Style" w:hAnsi="Bookman Old Style" w:cs="Arial"/>
          <w:sz w:val="28"/>
          <w:szCs w:val="28"/>
          <w:lang w:val="es-MX"/>
        </w:rPr>
        <w:t>dentro de</w:t>
      </w:r>
      <w:r w:rsidR="000C3DF5">
        <w:rPr>
          <w:rFonts w:ascii="Bookman Old Style" w:hAnsi="Bookman Old Style" w:cs="Arial"/>
          <w:sz w:val="28"/>
          <w:szCs w:val="28"/>
          <w:lang w:val="es-MX"/>
        </w:rPr>
        <w:t xml:space="preserve"> </w:t>
      </w:r>
      <w:r>
        <w:rPr>
          <w:rFonts w:ascii="Bookman Old Style" w:hAnsi="Bookman Old Style" w:cs="Arial"/>
          <w:sz w:val="28"/>
          <w:szCs w:val="28"/>
          <w:lang w:val="es-MX"/>
        </w:rPr>
        <w:t>l</w:t>
      </w:r>
      <w:r w:rsidR="000C3DF5">
        <w:rPr>
          <w:rFonts w:ascii="Bookman Old Style" w:hAnsi="Bookman Old Style" w:cs="Arial"/>
          <w:sz w:val="28"/>
          <w:szCs w:val="28"/>
          <w:lang w:val="es-MX"/>
        </w:rPr>
        <w:t>os</w:t>
      </w:r>
      <w:r>
        <w:rPr>
          <w:rFonts w:ascii="Bookman Old Style" w:hAnsi="Bookman Old Style" w:cs="Arial"/>
          <w:sz w:val="28"/>
          <w:szCs w:val="28"/>
          <w:lang w:val="es-MX"/>
        </w:rPr>
        <w:t xml:space="preserve"> proceso</w:t>
      </w:r>
      <w:r w:rsidR="000C3DF5">
        <w:rPr>
          <w:rFonts w:ascii="Bookman Old Style" w:hAnsi="Bookman Old Style" w:cs="Arial"/>
          <w:sz w:val="28"/>
          <w:szCs w:val="28"/>
          <w:lang w:val="es-MX"/>
        </w:rPr>
        <w:t>s</w:t>
      </w:r>
      <w:r>
        <w:rPr>
          <w:rFonts w:ascii="Bookman Old Style" w:hAnsi="Bookman Old Style" w:cs="Arial"/>
          <w:sz w:val="28"/>
          <w:szCs w:val="28"/>
          <w:lang w:val="es-MX"/>
        </w:rPr>
        <w:t xml:space="preserve"> ejecutivo</w:t>
      </w:r>
      <w:r w:rsidR="000C3DF5">
        <w:rPr>
          <w:rFonts w:ascii="Bookman Old Style" w:hAnsi="Bookman Old Style" w:cs="Arial"/>
          <w:sz w:val="28"/>
          <w:szCs w:val="28"/>
          <w:lang w:val="es-MX"/>
        </w:rPr>
        <w:t xml:space="preserve">s laborales 2009-00096 y 2009-00180 contra el Fondo de </w:t>
      </w:r>
      <w:r w:rsidR="000C3DF5">
        <w:rPr>
          <w:rFonts w:ascii="Bookman Old Style" w:hAnsi="Bookman Old Style" w:cs="Arial"/>
          <w:sz w:val="28"/>
          <w:szCs w:val="28"/>
          <w:lang w:val="es-MX"/>
        </w:rPr>
        <w:lastRenderedPageBreak/>
        <w:t>Prestaciones Sociales del Magisterio y/o Fiduciaria La Previsora S.A.</w:t>
      </w:r>
      <w:r w:rsidR="00F56D48">
        <w:rPr>
          <w:rFonts w:ascii="Bookman Old Style" w:hAnsi="Bookman Old Style" w:cs="Arial"/>
          <w:sz w:val="28"/>
          <w:szCs w:val="28"/>
          <w:lang w:val="es-MX"/>
        </w:rPr>
        <w:t>,</w:t>
      </w:r>
      <w:r w:rsidR="00695648">
        <w:rPr>
          <w:rFonts w:ascii="Bookman Old Style" w:hAnsi="Bookman Old Style" w:cs="Arial"/>
          <w:sz w:val="28"/>
          <w:szCs w:val="28"/>
          <w:lang w:val="es-MX"/>
        </w:rPr>
        <w:t xml:space="preserve"> </w:t>
      </w:r>
      <w:r w:rsidR="0063628C">
        <w:rPr>
          <w:rFonts w:ascii="Bookman Old Style" w:hAnsi="Bookman Old Style" w:cs="Arial"/>
          <w:sz w:val="28"/>
          <w:szCs w:val="28"/>
          <w:lang w:val="es-MX"/>
        </w:rPr>
        <w:t>libró mandamientos de pago con sustento en actos administrativos que no prestaban mérito ejecutivo, por no reunir las exigencias del artículo 3 del Decreto 2831 de 2005</w:t>
      </w:r>
      <w:r w:rsidR="000732FE">
        <w:rPr>
          <w:rFonts w:ascii="Bookman Old Style" w:hAnsi="Bookman Old Style" w:cs="Arial"/>
          <w:sz w:val="28"/>
          <w:szCs w:val="28"/>
          <w:lang w:val="es-MX"/>
        </w:rPr>
        <w:t>,</w:t>
      </w:r>
      <w:r w:rsidR="0063628C">
        <w:rPr>
          <w:rFonts w:ascii="Bookman Old Style" w:hAnsi="Bookman Old Style" w:cs="Arial"/>
          <w:sz w:val="28"/>
          <w:szCs w:val="28"/>
          <w:lang w:val="es-MX"/>
        </w:rPr>
        <w:t xml:space="preserve"> a la vez que decretó el embargo de recursos </w:t>
      </w:r>
      <w:r w:rsidR="000732FE">
        <w:rPr>
          <w:rFonts w:ascii="Bookman Old Style" w:hAnsi="Bookman Old Style" w:cs="Arial"/>
          <w:sz w:val="28"/>
          <w:szCs w:val="28"/>
          <w:lang w:val="es-MX"/>
        </w:rPr>
        <w:t xml:space="preserve">incorporados </w:t>
      </w:r>
      <w:r w:rsidR="00ED4F9C">
        <w:rPr>
          <w:rFonts w:ascii="Bookman Old Style" w:hAnsi="Bookman Old Style" w:cs="Arial"/>
          <w:sz w:val="28"/>
          <w:szCs w:val="28"/>
          <w:lang w:val="es-MX"/>
        </w:rPr>
        <w:t>al presupuesto</w:t>
      </w:r>
      <w:r w:rsidR="000732FE">
        <w:rPr>
          <w:rFonts w:ascii="Bookman Old Style" w:hAnsi="Bookman Old Style" w:cs="Arial"/>
          <w:sz w:val="28"/>
          <w:szCs w:val="28"/>
          <w:lang w:val="es-MX"/>
        </w:rPr>
        <w:t xml:space="preserve"> de la Nación, </w:t>
      </w:r>
      <w:r w:rsidR="00C1219D">
        <w:rPr>
          <w:rFonts w:ascii="Bookman Old Style" w:hAnsi="Bookman Old Style" w:cs="Arial"/>
          <w:sz w:val="28"/>
          <w:szCs w:val="28"/>
          <w:lang w:val="es-MX"/>
        </w:rPr>
        <w:t>pese a su carácter inembargable</w:t>
      </w:r>
      <w:r w:rsidR="00662F4D">
        <w:rPr>
          <w:rFonts w:ascii="Bookman Old Style" w:hAnsi="Bookman Old Style" w:cs="Arial"/>
          <w:sz w:val="28"/>
          <w:szCs w:val="28"/>
          <w:lang w:val="es-MX"/>
        </w:rPr>
        <w:t xml:space="preserve"> conforme el Estatuto Orgánico del Presupuesto</w:t>
      </w:r>
      <w:r w:rsidR="00ED4F9C">
        <w:rPr>
          <w:rFonts w:ascii="Bookman Old Style" w:hAnsi="Bookman Old Style" w:cs="Arial"/>
          <w:sz w:val="28"/>
          <w:szCs w:val="28"/>
          <w:lang w:val="es-MX"/>
        </w:rPr>
        <w:t>. Con ello, propició que los demandantes dentro del ejecutivo laboral de Lesbia Isabel Suárez Mendoza y otros (2009-00180)</w:t>
      </w:r>
      <w:r w:rsidR="00662F4D">
        <w:rPr>
          <w:rFonts w:ascii="Bookman Old Style" w:hAnsi="Bookman Old Style" w:cs="Arial"/>
          <w:sz w:val="28"/>
          <w:szCs w:val="28"/>
          <w:lang w:val="es-MX"/>
        </w:rPr>
        <w:t>,</w:t>
      </w:r>
      <w:r w:rsidR="000732FE">
        <w:rPr>
          <w:rFonts w:ascii="Bookman Old Style" w:hAnsi="Bookman Old Style" w:cs="Arial"/>
          <w:sz w:val="28"/>
          <w:szCs w:val="28"/>
          <w:lang w:val="es-MX"/>
        </w:rPr>
        <w:t xml:space="preserve"> se apropiaran de la suma de $4.027.277.220, </w:t>
      </w:r>
      <w:r w:rsidR="00662F4D">
        <w:rPr>
          <w:rFonts w:ascii="Bookman Old Style" w:hAnsi="Bookman Old Style" w:cs="Arial"/>
          <w:sz w:val="28"/>
          <w:szCs w:val="28"/>
          <w:lang w:val="es-MX"/>
        </w:rPr>
        <w:t xml:space="preserve">ordenada pagar a su favor en </w:t>
      </w:r>
      <w:r w:rsidR="000732FE">
        <w:rPr>
          <w:rFonts w:ascii="Bookman Old Style" w:hAnsi="Bookman Old Style" w:cs="Arial"/>
          <w:sz w:val="28"/>
          <w:szCs w:val="28"/>
          <w:lang w:val="es-MX"/>
        </w:rPr>
        <w:t>fallo del 15 de abril de 2010.</w:t>
      </w:r>
    </w:p>
    <w:p w:rsidR="00F56D48" w:rsidRDefault="00F56D48" w:rsidP="00695648">
      <w:pPr>
        <w:spacing w:line="360" w:lineRule="auto"/>
        <w:ind w:firstLine="708"/>
        <w:jc w:val="both"/>
        <w:rPr>
          <w:rFonts w:ascii="Bookman Old Style" w:hAnsi="Bookman Old Style" w:cs="Arial"/>
          <w:sz w:val="28"/>
          <w:szCs w:val="28"/>
          <w:lang w:val="es-MX"/>
        </w:rPr>
      </w:pPr>
    </w:p>
    <w:p w:rsidR="00F25CC1" w:rsidRDefault="00F56D48" w:rsidP="00662F4D">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 xml:space="preserve">2. </w:t>
      </w:r>
      <w:r w:rsidR="00DB7B2E">
        <w:rPr>
          <w:rFonts w:ascii="Bookman Old Style" w:hAnsi="Bookman Old Style" w:cs="Arial"/>
          <w:sz w:val="28"/>
          <w:szCs w:val="28"/>
          <w:lang w:val="es-MX"/>
        </w:rPr>
        <w:tab/>
      </w:r>
      <w:r w:rsidR="0030546B">
        <w:rPr>
          <w:rFonts w:ascii="Bookman Old Style" w:hAnsi="Bookman Old Style" w:cs="Arial"/>
          <w:sz w:val="28"/>
          <w:szCs w:val="28"/>
          <w:lang w:val="es-MX"/>
        </w:rPr>
        <w:t>E</w:t>
      </w:r>
      <w:r w:rsidR="00662F4D">
        <w:rPr>
          <w:rFonts w:ascii="Bookman Old Style" w:hAnsi="Bookman Old Style" w:cs="Arial"/>
          <w:sz w:val="28"/>
          <w:szCs w:val="28"/>
          <w:lang w:val="es-MX"/>
        </w:rPr>
        <w:t>l 25</w:t>
      </w:r>
      <w:r w:rsidR="00446B9C">
        <w:rPr>
          <w:rFonts w:ascii="Bookman Old Style" w:hAnsi="Bookman Old Style" w:cs="Arial"/>
          <w:sz w:val="28"/>
          <w:szCs w:val="28"/>
          <w:lang w:val="es-MX"/>
        </w:rPr>
        <w:t xml:space="preserve"> de </w:t>
      </w:r>
      <w:r w:rsidR="00662F4D">
        <w:rPr>
          <w:rFonts w:ascii="Bookman Old Style" w:hAnsi="Bookman Old Style" w:cs="Arial"/>
          <w:sz w:val="28"/>
          <w:szCs w:val="28"/>
          <w:lang w:val="es-MX"/>
        </w:rPr>
        <w:t>noviembre de 2016</w:t>
      </w:r>
      <w:r w:rsidR="00F25CC1">
        <w:rPr>
          <w:rFonts w:ascii="Bookman Old Style" w:hAnsi="Bookman Old Style" w:cs="Arial"/>
          <w:sz w:val="28"/>
          <w:szCs w:val="28"/>
          <w:lang w:val="es-MX"/>
        </w:rPr>
        <w:t xml:space="preserve">, ante </w:t>
      </w:r>
      <w:r w:rsidR="00662F4D">
        <w:rPr>
          <w:rFonts w:ascii="Bookman Old Style" w:hAnsi="Bookman Old Style" w:cs="Arial"/>
          <w:sz w:val="28"/>
          <w:szCs w:val="28"/>
          <w:lang w:val="es-MX"/>
        </w:rPr>
        <w:t>el Juez 4</w:t>
      </w:r>
      <w:r w:rsidR="0030546B">
        <w:rPr>
          <w:rFonts w:ascii="Bookman Old Style" w:hAnsi="Bookman Old Style" w:cs="Arial"/>
          <w:sz w:val="28"/>
          <w:szCs w:val="28"/>
          <w:lang w:val="es-MX"/>
        </w:rPr>
        <w:t xml:space="preserve"> Penal Municipal con Función d</w:t>
      </w:r>
      <w:r w:rsidR="00662F4D">
        <w:rPr>
          <w:rFonts w:ascii="Bookman Old Style" w:hAnsi="Bookman Old Style" w:cs="Arial"/>
          <w:sz w:val="28"/>
          <w:szCs w:val="28"/>
          <w:lang w:val="es-MX"/>
        </w:rPr>
        <w:t>e Control de Garantías de Montería</w:t>
      </w:r>
      <w:r w:rsidR="0030546B">
        <w:rPr>
          <w:rFonts w:ascii="Bookman Old Style" w:hAnsi="Bookman Old Style" w:cs="Arial"/>
          <w:sz w:val="28"/>
          <w:szCs w:val="28"/>
          <w:lang w:val="es-MX"/>
        </w:rPr>
        <w:t xml:space="preserve">, la Fiscalía General de la Nación formuló imputación a </w:t>
      </w:r>
      <w:r w:rsidR="00662F4D">
        <w:rPr>
          <w:rFonts w:ascii="Bookman Old Style" w:hAnsi="Bookman Old Style" w:cs="Arial"/>
          <w:sz w:val="28"/>
          <w:szCs w:val="28"/>
          <w:lang w:val="es-MX"/>
        </w:rPr>
        <w:t xml:space="preserve">MANUEL GREGORIO HERAZO JIMÉNEZ </w:t>
      </w:r>
      <w:r w:rsidR="0030546B">
        <w:rPr>
          <w:rFonts w:ascii="Bookman Old Style" w:hAnsi="Bookman Old Style" w:cs="Arial"/>
          <w:sz w:val="28"/>
          <w:szCs w:val="28"/>
          <w:lang w:val="es-MX"/>
        </w:rPr>
        <w:t xml:space="preserve">como autor doloso de los </w:t>
      </w:r>
      <w:r w:rsidR="00F25CC1">
        <w:rPr>
          <w:rFonts w:ascii="Bookman Old Style" w:hAnsi="Bookman Old Style" w:cs="Arial"/>
          <w:sz w:val="28"/>
          <w:szCs w:val="28"/>
          <w:lang w:val="es-MX"/>
        </w:rPr>
        <w:t>delitos</w:t>
      </w:r>
      <w:r w:rsidR="0030546B">
        <w:rPr>
          <w:rFonts w:ascii="Bookman Old Style" w:hAnsi="Bookman Old Style" w:cs="Arial"/>
          <w:sz w:val="28"/>
          <w:szCs w:val="28"/>
          <w:lang w:val="es-MX"/>
        </w:rPr>
        <w:t xml:space="preserve"> de </w:t>
      </w:r>
      <w:r w:rsidR="00662F4D">
        <w:rPr>
          <w:rFonts w:ascii="Bookman Old Style" w:hAnsi="Bookman Old Style" w:cs="Arial"/>
          <w:sz w:val="28"/>
          <w:szCs w:val="28"/>
          <w:lang w:val="es-MX"/>
        </w:rPr>
        <w:t xml:space="preserve">prevaricato por acción en concurso homogéneo y </w:t>
      </w:r>
      <w:r w:rsidR="0030546B">
        <w:rPr>
          <w:rFonts w:ascii="Bookman Old Style" w:hAnsi="Bookman Old Style" w:cs="Arial"/>
          <w:sz w:val="28"/>
          <w:szCs w:val="28"/>
          <w:lang w:val="es-MX"/>
        </w:rPr>
        <w:t>peculado por apropiación, cargos que no fueron aceptados por el procesado.</w:t>
      </w:r>
      <w:r w:rsidR="00662F4D">
        <w:rPr>
          <w:rFonts w:ascii="Bookman Old Style" w:hAnsi="Bookman Old Style" w:cs="Arial"/>
          <w:sz w:val="28"/>
          <w:szCs w:val="28"/>
          <w:lang w:val="es-MX"/>
        </w:rPr>
        <w:t xml:space="preserve"> En los mismos términos, se le formuló acusación en </w:t>
      </w:r>
      <w:r w:rsidR="0030546B">
        <w:rPr>
          <w:rFonts w:ascii="Bookman Old Style" w:hAnsi="Bookman Old Style" w:cs="Arial"/>
          <w:sz w:val="28"/>
          <w:szCs w:val="28"/>
          <w:lang w:val="es-MX"/>
        </w:rPr>
        <w:t xml:space="preserve">audiencia celebrada </w:t>
      </w:r>
      <w:r w:rsidR="00446B9C">
        <w:rPr>
          <w:rFonts w:ascii="Bookman Old Style" w:hAnsi="Bookman Old Style" w:cs="Arial"/>
          <w:sz w:val="28"/>
          <w:szCs w:val="28"/>
          <w:lang w:val="es-MX"/>
        </w:rPr>
        <w:t>el</w:t>
      </w:r>
      <w:r w:rsidR="00F25CC1">
        <w:rPr>
          <w:rFonts w:ascii="Bookman Old Style" w:hAnsi="Bookman Old Style" w:cs="Arial"/>
          <w:sz w:val="28"/>
          <w:szCs w:val="28"/>
          <w:lang w:val="es-MX"/>
        </w:rPr>
        <w:t xml:space="preserve"> </w:t>
      </w:r>
      <w:r w:rsidR="00662F4D">
        <w:rPr>
          <w:rFonts w:ascii="Bookman Old Style" w:hAnsi="Bookman Old Style" w:cs="Arial"/>
          <w:sz w:val="28"/>
          <w:szCs w:val="28"/>
          <w:lang w:val="es-MX"/>
        </w:rPr>
        <w:t>11 de julio de 2017,</w:t>
      </w:r>
      <w:r w:rsidR="00446B9C">
        <w:rPr>
          <w:rFonts w:ascii="Bookman Old Style" w:hAnsi="Bookman Old Style" w:cs="Arial"/>
          <w:sz w:val="28"/>
          <w:szCs w:val="28"/>
          <w:lang w:val="es-MX"/>
        </w:rPr>
        <w:t xml:space="preserve"> </w:t>
      </w:r>
      <w:r w:rsidR="00F25CC1">
        <w:rPr>
          <w:rFonts w:ascii="Bookman Old Style" w:hAnsi="Bookman Old Style" w:cs="Arial"/>
          <w:sz w:val="28"/>
          <w:szCs w:val="28"/>
          <w:lang w:val="es-MX"/>
        </w:rPr>
        <w:t>ante la Sala Penal</w:t>
      </w:r>
      <w:r w:rsidR="00662F4D">
        <w:rPr>
          <w:rFonts w:ascii="Bookman Old Style" w:hAnsi="Bookman Old Style" w:cs="Arial"/>
          <w:sz w:val="28"/>
          <w:szCs w:val="28"/>
          <w:lang w:val="es-MX"/>
        </w:rPr>
        <w:t xml:space="preserve"> del Tribunal Superior de Montería. </w:t>
      </w:r>
    </w:p>
    <w:p w:rsidR="0068504D" w:rsidRDefault="0068504D" w:rsidP="00695648">
      <w:pPr>
        <w:spacing w:line="360" w:lineRule="auto"/>
        <w:ind w:firstLine="708"/>
        <w:jc w:val="both"/>
        <w:rPr>
          <w:rFonts w:ascii="Bookman Old Style" w:hAnsi="Bookman Old Style" w:cs="Arial"/>
          <w:sz w:val="28"/>
          <w:szCs w:val="28"/>
          <w:lang w:val="es-MX"/>
        </w:rPr>
      </w:pPr>
    </w:p>
    <w:p w:rsidR="00D46FA9" w:rsidRDefault="00662F4D"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3</w:t>
      </w:r>
      <w:r w:rsidR="0068504D">
        <w:rPr>
          <w:rFonts w:ascii="Bookman Old Style" w:hAnsi="Bookman Old Style" w:cs="Arial"/>
          <w:sz w:val="28"/>
          <w:szCs w:val="28"/>
          <w:lang w:val="es-MX"/>
        </w:rPr>
        <w:t>.</w:t>
      </w:r>
      <w:r>
        <w:rPr>
          <w:rFonts w:ascii="Bookman Old Style" w:hAnsi="Bookman Old Style" w:cs="Arial"/>
          <w:sz w:val="28"/>
          <w:szCs w:val="28"/>
          <w:lang w:val="es-MX"/>
        </w:rPr>
        <w:tab/>
      </w:r>
      <w:r w:rsidR="00600DBF">
        <w:rPr>
          <w:rFonts w:ascii="Bookman Old Style" w:hAnsi="Bookman Old Style" w:cs="Arial"/>
          <w:sz w:val="28"/>
          <w:szCs w:val="28"/>
          <w:lang w:val="es-MX"/>
        </w:rPr>
        <w:t>En curso de la audiencia preparatoria (sesión del 12 de octubre de 2017), la defensa se opuso a las solicitudes probatorias de la Fiscalía. Para ello</w:t>
      </w:r>
      <w:r w:rsidR="00ED038C">
        <w:rPr>
          <w:rFonts w:ascii="Bookman Old Style" w:hAnsi="Bookman Old Style" w:cs="Arial"/>
          <w:sz w:val="28"/>
          <w:szCs w:val="28"/>
          <w:lang w:val="es-MX"/>
        </w:rPr>
        <w:t xml:space="preserve"> predic</w:t>
      </w:r>
      <w:r w:rsidR="00D46FA9">
        <w:rPr>
          <w:rFonts w:ascii="Bookman Old Style" w:hAnsi="Bookman Old Style" w:cs="Arial"/>
          <w:sz w:val="28"/>
          <w:szCs w:val="28"/>
          <w:lang w:val="es-MX"/>
        </w:rPr>
        <w:t xml:space="preserve">ó el rechazo </w:t>
      </w:r>
      <w:r w:rsidR="00ED038C">
        <w:rPr>
          <w:rFonts w:ascii="Bookman Old Style" w:hAnsi="Bookman Old Style" w:cs="Arial"/>
          <w:sz w:val="28"/>
          <w:szCs w:val="28"/>
          <w:lang w:val="es-MX"/>
        </w:rPr>
        <w:t>de</w:t>
      </w:r>
      <w:r w:rsidR="00D46FA9">
        <w:rPr>
          <w:rFonts w:ascii="Bookman Old Style" w:hAnsi="Bookman Old Style" w:cs="Arial"/>
          <w:sz w:val="28"/>
          <w:szCs w:val="28"/>
          <w:lang w:val="es-MX"/>
        </w:rPr>
        <w:t>l</w:t>
      </w:r>
      <w:r w:rsidR="00ED038C">
        <w:rPr>
          <w:rFonts w:ascii="Bookman Old Style" w:hAnsi="Bookman Old Style" w:cs="Arial"/>
          <w:sz w:val="28"/>
          <w:szCs w:val="28"/>
          <w:lang w:val="es-MX"/>
        </w:rPr>
        <w:t xml:space="preserve"> </w:t>
      </w:r>
      <w:r w:rsidR="00D46FA9">
        <w:rPr>
          <w:rFonts w:ascii="Bookman Old Style" w:hAnsi="Bookman Old Style" w:cs="Arial"/>
          <w:sz w:val="28"/>
          <w:szCs w:val="28"/>
          <w:lang w:val="es-MX"/>
        </w:rPr>
        <w:t>testimonio</w:t>
      </w:r>
      <w:r w:rsidR="00ED038C">
        <w:rPr>
          <w:rFonts w:ascii="Bookman Old Style" w:hAnsi="Bookman Old Style" w:cs="Arial"/>
          <w:sz w:val="28"/>
          <w:szCs w:val="28"/>
          <w:lang w:val="es-MX"/>
        </w:rPr>
        <w:t xml:space="preserve"> de Alexis </w:t>
      </w:r>
      <w:proofErr w:type="spellStart"/>
      <w:r w:rsidR="00ED038C">
        <w:rPr>
          <w:rFonts w:ascii="Bookman Old Style" w:hAnsi="Bookman Old Style" w:cs="Arial"/>
          <w:sz w:val="28"/>
          <w:szCs w:val="28"/>
          <w:lang w:val="es-MX"/>
        </w:rPr>
        <w:t>Lakha</w:t>
      </w:r>
      <w:proofErr w:type="spellEnd"/>
      <w:r w:rsidR="00D46FA9">
        <w:rPr>
          <w:rFonts w:ascii="Bookman Old Style" w:hAnsi="Bookman Old Style" w:cs="Arial"/>
          <w:sz w:val="28"/>
          <w:szCs w:val="28"/>
          <w:lang w:val="es-MX"/>
        </w:rPr>
        <w:t xml:space="preserve">, por no haber sido descubierto oportunamente. La misma consecuencia invocó respecto del testimonio de Mayra </w:t>
      </w:r>
      <w:proofErr w:type="spellStart"/>
      <w:r w:rsidR="00D46FA9">
        <w:rPr>
          <w:rFonts w:ascii="Bookman Old Style" w:hAnsi="Bookman Old Style" w:cs="Arial"/>
          <w:sz w:val="28"/>
          <w:szCs w:val="28"/>
          <w:lang w:val="es-MX"/>
        </w:rPr>
        <w:t>Estebana</w:t>
      </w:r>
      <w:proofErr w:type="spellEnd"/>
      <w:r w:rsidR="00D46FA9">
        <w:rPr>
          <w:rFonts w:ascii="Bookman Old Style" w:hAnsi="Bookman Old Style" w:cs="Arial"/>
          <w:sz w:val="28"/>
          <w:szCs w:val="28"/>
          <w:lang w:val="es-MX"/>
        </w:rPr>
        <w:t xml:space="preserve"> Burgos y de la </w:t>
      </w:r>
      <w:r w:rsidR="00D46FA9">
        <w:rPr>
          <w:rFonts w:ascii="Bookman Old Style" w:hAnsi="Bookman Old Style" w:cs="Arial"/>
          <w:sz w:val="28"/>
          <w:szCs w:val="28"/>
          <w:lang w:val="es-MX"/>
        </w:rPr>
        <w:lastRenderedPageBreak/>
        <w:t xml:space="preserve">prueba documental en su integridad, aduciendo que dichos medios de convicción no fueron enunciados en su momento. </w:t>
      </w:r>
    </w:p>
    <w:p w:rsidR="00F16BFC" w:rsidRDefault="00D46FA9"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A la par, predicó la inadmisibilidad de</w:t>
      </w:r>
      <w:r w:rsidR="00BB714B">
        <w:rPr>
          <w:rFonts w:ascii="Bookman Old Style" w:hAnsi="Bookman Old Style" w:cs="Arial"/>
          <w:sz w:val="28"/>
          <w:szCs w:val="28"/>
          <w:lang w:val="es-MX"/>
        </w:rPr>
        <w:t xml:space="preserve"> </w:t>
      </w:r>
      <w:r>
        <w:rPr>
          <w:rFonts w:ascii="Bookman Old Style" w:hAnsi="Bookman Old Style" w:cs="Arial"/>
          <w:sz w:val="28"/>
          <w:szCs w:val="28"/>
          <w:lang w:val="es-MX"/>
        </w:rPr>
        <w:t>l</w:t>
      </w:r>
      <w:r w:rsidR="00BB714B">
        <w:rPr>
          <w:rFonts w:ascii="Bookman Old Style" w:hAnsi="Bookman Old Style" w:cs="Arial"/>
          <w:sz w:val="28"/>
          <w:szCs w:val="28"/>
          <w:lang w:val="es-MX"/>
        </w:rPr>
        <w:t>a</w:t>
      </w:r>
      <w:r>
        <w:rPr>
          <w:rFonts w:ascii="Bookman Old Style" w:hAnsi="Bookman Old Style" w:cs="Arial"/>
          <w:sz w:val="28"/>
          <w:szCs w:val="28"/>
          <w:lang w:val="es-MX"/>
        </w:rPr>
        <w:t xml:space="preserve"> totalidad de la</w:t>
      </w:r>
      <w:r w:rsidR="00BB714B">
        <w:rPr>
          <w:rFonts w:ascii="Bookman Old Style" w:hAnsi="Bookman Old Style" w:cs="Arial"/>
          <w:sz w:val="28"/>
          <w:szCs w:val="28"/>
          <w:lang w:val="es-MX"/>
        </w:rPr>
        <w:t xml:space="preserve"> prueba por falta de la argumentación necesaria en torno a su pertinencia, conducencia y utilidad, exigencia que </w:t>
      </w:r>
      <w:r w:rsidR="0072100C">
        <w:rPr>
          <w:rFonts w:ascii="Bookman Old Style" w:hAnsi="Bookman Old Style" w:cs="Arial"/>
          <w:sz w:val="28"/>
          <w:szCs w:val="28"/>
          <w:lang w:val="es-MX"/>
        </w:rPr>
        <w:t xml:space="preserve">estima </w:t>
      </w:r>
      <w:r w:rsidR="00BB714B">
        <w:rPr>
          <w:rFonts w:ascii="Bookman Old Style" w:hAnsi="Bookman Old Style" w:cs="Arial"/>
          <w:sz w:val="28"/>
          <w:szCs w:val="28"/>
          <w:lang w:val="es-MX"/>
        </w:rPr>
        <w:t>solo se cumplió respecto a los testigos de acreditación. De igual manera, solicitó la inadmisión de las entrevistas e interrogatorio al indiciado, pues los mismos no son medio de prueba y solo pueden usarse en juicio para refrescar memoria o impugnar credibilidad.</w:t>
      </w:r>
    </w:p>
    <w:p w:rsidR="00BB714B" w:rsidRDefault="00BB714B" w:rsidP="00695648">
      <w:pPr>
        <w:spacing w:line="360" w:lineRule="auto"/>
        <w:ind w:firstLine="708"/>
        <w:jc w:val="both"/>
        <w:rPr>
          <w:rFonts w:ascii="Bookman Old Style" w:hAnsi="Bookman Old Style" w:cs="Arial"/>
          <w:sz w:val="28"/>
          <w:szCs w:val="28"/>
          <w:lang w:val="es-MX"/>
        </w:rPr>
      </w:pPr>
    </w:p>
    <w:p w:rsidR="00BB714B" w:rsidRDefault="00BB714B"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Finalmente, predicó l</w:t>
      </w:r>
      <w:r w:rsidR="007F7E6E">
        <w:rPr>
          <w:rFonts w:ascii="Bookman Old Style" w:hAnsi="Bookman Old Style" w:cs="Arial"/>
          <w:sz w:val="28"/>
          <w:szCs w:val="28"/>
          <w:lang w:val="es-MX"/>
        </w:rPr>
        <w:t>a exclusión de las copias del proceso ejecutivo laboral 2009-00180 tramitado en el Juzgado Civil del Circuito de Lorica,</w:t>
      </w:r>
      <w:r>
        <w:rPr>
          <w:rFonts w:ascii="Bookman Old Style" w:hAnsi="Bookman Old Style" w:cs="Arial"/>
          <w:sz w:val="28"/>
          <w:szCs w:val="28"/>
          <w:lang w:val="es-MX"/>
        </w:rPr>
        <w:t xml:space="preserve"> por tr</w:t>
      </w:r>
      <w:r w:rsidR="007F7E6E">
        <w:rPr>
          <w:rFonts w:ascii="Bookman Old Style" w:hAnsi="Bookman Old Style" w:cs="Arial"/>
          <w:sz w:val="28"/>
          <w:szCs w:val="28"/>
          <w:lang w:val="es-MX"/>
        </w:rPr>
        <w:t>atarse de prueba ilegal, pues</w:t>
      </w:r>
      <w:r>
        <w:rPr>
          <w:rFonts w:ascii="Bookman Old Style" w:hAnsi="Bookman Old Style" w:cs="Arial"/>
          <w:sz w:val="28"/>
          <w:szCs w:val="28"/>
          <w:lang w:val="es-MX"/>
        </w:rPr>
        <w:t xml:space="preserve"> –afirma- fueron recopiladas sin el lleno de los requisitos que establece el artículo 435 de la Ley 906 de 2004 para la inspección judicial.</w:t>
      </w:r>
    </w:p>
    <w:p w:rsidR="00BB714B" w:rsidRDefault="00BB714B" w:rsidP="00695648">
      <w:pPr>
        <w:spacing w:line="360" w:lineRule="auto"/>
        <w:ind w:firstLine="708"/>
        <w:jc w:val="both"/>
        <w:rPr>
          <w:rFonts w:ascii="Bookman Old Style" w:hAnsi="Bookman Old Style" w:cs="Arial"/>
          <w:sz w:val="28"/>
          <w:szCs w:val="28"/>
          <w:lang w:val="es-MX"/>
        </w:rPr>
      </w:pPr>
    </w:p>
    <w:p w:rsidR="0072100C" w:rsidRDefault="00BB714B"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4</w:t>
      </w:r>
      <w:r w:rsidR="00F16BFC">
        <w:rPr>
          <w:rFonts w:ascii="Bookman Old Style" w:hAnsi="Bookman Old Style" w:cs="Arial"/>
          <w:sz w:val="28"/>
          <w:szCs w:val="28"/>
          <w:lang w:val="es-MX"/>
        </w:rPr>
        <w:t xml:space="preserve">. </w:t>
      </w:r>
      <w:r w:rsidR="0072100C">
        <w:rPr>
          <w:rFonts w:ascii="Bookman Old Style" w:hAnsi="Bookman Old Style" w:cs="Arial"/>
          <w:sz w:val="28"/>
          <w:szCs w:val="28"/>
          <w:lang w:val="es-MX"/>
        </w:rPr>
        <w:tab/>
        <w:t xml:space="preserve">El Ministerio Público, por su parte, solicitó al Tribunal verificar el audio respectivo, hecho lo cual, advirtió que los testimonios de Mayra </w:t>
      </w:r>
      <w:proofErr w:type="spellStart"/>
      <w:r w:rsidR="0072100C">
        <w:rPr>
          <w:rFonts w:ascii="Bookman Old Style" w:hAnsi="Bookman Old Style" w:cs="Arial"/>
          <w:sz w:val="28"/>
          <w:szCs w:val="28"/>
          <w:lang w:val="es-MX"/>
        </w:rPr>
        <w:t>Estebana</w:t>
      </w:r>
      <w:proofErr w:type="spellEnd"/>
      <w:r w:rsidR="0072100C">
        <w:rPr>
          <w:rFonts w:ascii="Bookman Old Style" w:hAnsi="Bookman Old Style" w:cs="Arial"/>
          <w:sz w:val="28"/>
          <w:szCs w:val="28"/>
          <w:lang w:val="es-MX"/>
        </w:rPr>
        <w:t xml:space="preserve"> Burgos y Alexis </w:t>
      </w:r>
      <w:proofErr w:type="spellStart"/>
      <w:r w:rsidR="0072100C">
        <w:rPr>
          <w:rFonts w:ascii="Bookman Old Style" w:hAnsi="Bookman Old Style" w:cs="Arial"/>
          <w:sz w:val="28"/>
          <w:szCs w:val="28"/>
          <w:lang w:val="es-MX"/>
        </w:rPr>
        <w:t>Lakha</w:t>
      </w:r>
      <w:proofErr w:type="spellEnd"/>
      <w:r w:rsidR="0072100C">
        <w:rPr>
          <w:rFonts w:ascii="Bookman Old Style" w:hAnsi="Bookman Old Style" w:cs="Arial"/>
          <w:sz w:val="28"/>
          <w:szCs w:val="28"/>
          <w:lang w:val="es-MX"/>
        </w:rPr>
        <w:t xml:space="preserve"> Puentes fueron debidamente descubiertos y enunciados por la Fiscalía y por ello, son admisibles. </w:t>
      </w:r>
    </w:p>
    <w:p w:rsidR="0072100C" w:rsidRDefault="0072100C" w:rsidP="00695648">
      <w:pPr>
        <w:spacing w:line="360" w:lineRule="auto"/>
        <w:ind w:firstLine="708"/>
        <w:jc w:val="both"/>
        <w:rPr>
          <w:rFonts w:ascii="Bookman Old Style" w:hAnsi="Bookman Old Style" w:cs="Arial"/>
          <w:sz w:val="28"/>
          <w:szCs w:val="28"/>
          <w:lang w:val="es-MX"/>
        </w:rPr>
      </w:pPr>
    </w:p>
    <w:p w:rsidR="00F16BFC" w:rsidRDefault="0072100C"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 xml:space="preserve">En cuanto a la prueba documental, insistió que si bien el estilo de enunciación, descubrimiento y petición de pruebas adoptado por la Fiscalía no es el ideal, ello no puede afectar el debido proceso porque, en todo caso, se cumplió con las formalidades y previsiones que este </w:t>
      </w:r>
      <w:r>
        <w:rPr>
          <w:rFonts w:ascii="Bookman Old Style" w:hAnsi="Bookman Old Style" w:cs="Arial"/>
          <w:sz w:val="28"/>
          <w:szCs w:val="28"/>
          <w:lang w:val="es-MX"/>
        </w:rPr>
        <w:lastRenderedPageBreak/>
        <w:t>demanda.</w:t>
      </w:r>
      <w:r w:rsidR="00C628AC">
        <w:rPr>
          <w:rFonts w:ascii="Bookman Old Style" w:hAnsi="Bookman Old Style" w:cs="Arial"/>
          <w:sz w:val="28"/>
          <w:szCs w:val="28"/>
          <w:lang w:val="es-MX"/>
        </w:rPr>
        <w:t xml:space="preserve"> Para el representante de la sociedad, </w:t>
      </w:r>
      <w:r>
        <w:rPr>
          <w:rFonts w:ascii="Bookman Old Style" w:hAnsi="Bookman Old Style" w:cs="Arial"/>
          <w:sz w:val="28"/>
          <w:szCs w:val="28"/>
          <w:lang w:val="es-MX"/>
        </w:rPr>
        <w:t xml:space="preserve">la Fiscalía </w:t>
      </w:r>
      <w:r w:rsidR="00F71F43">
        <w:rPr>
          <w:rFonts w:ascii="Bookman Old Style" w:hAnsi="Bookman Old Style" w:cs="Arial"/>
          <w:sz w:val="28"/>
          <w:szCs w:val="28"/>
          <w:lang w:val="es-MX"/>
        </w:rPr>
        <w:t>identificó los distintos informes de policía judicial y discriminó cada uno de los documentos que pretende introducir con los testigos de acreditación, situación que en su parecer es suficiente a efectos de determinar que la documentación allí enunciada fue solicitada y sería admisible. En relación con la ilegalidad de la inspección judicial</w:t>
      </w:r>
      <w:r w:rsidR="003B699B">
        <w:rPr>
          <w:rFonts w:ascii="Bookman Old Style" w:hAnsi="Bookman Old Style" w:cs="Arial"/>
          <w:sz w:val="28"/>
          <w:szCs w:val="28"/>
          <w:lang w:val="es-MX"/>
        </w:rPr>
        <w:t xml:space="preserve"> mediante la cual</w:t>
      </w:r>
      <w:r w:rsidR="00F71F43">
        <w:rPr>
          <w:rFonts w:ascii="Bookman Old Style" w:hAnsi="Bookman Old Style" w:cs="Arial"/>
          <w:sz w:val="28"/>
          <w:szCs w:val="28"/>
          <w:lang w:val="es-MX"/>
        </w:rPr>
        <w:t xml:space="preserve"> se obtuvo copia </w:t>
      </w:r>
      <w:r w:rsidR="00BA5B6F">
        <w:rPr>
          <w:rFonts w:ascii="Bookman Old Style" w:hAnsi="Bookman Old Style" w:cs="Arial"/>
          <w:sz w:val="28"/>
          <w:szCs w:val="28"/>
          <w:lang w:val="es-MX"/>
        </w:rPr>
        <w:t>de</w:t>
      </w:r>
      <w:r w:rsidR="00F71F43">
        <w:rPr>
          <w:rFonts w:ascii="Bookman Old Style" w:hAnsi="Bookman Old Style" w:cs="Arial"/>
          <w:sz w:val="28"/>
          <w:szCs w:val="28"/>
          <w:lang w:val="es-MX"/>
        </w:rPr>
        <w:t>l proceso ejecutivo laboral</w:t>
      </w:r>
      <w:r w:rsidR="00BA5B6F">
        <w:rPr>
          <w:rFonts w:ascii="Bookman Old Style" w:hAnsi="Bookman Old Style" w:cs="Arial"/>
          <w:sz w:val="28"/>
          <w:szCs w:val="28"/>
          <w:lang w:val="es-MX"/>
        </w:rPr>
        <w:t xml:space="preserve"> 2009-00180</w:t>
      </w:r>
      <w:r w:rsidR="00F71F43">
        <w:rPr>
          <w:rFonts w:ascii="Bookman Old Style" w:hAnsi="Bookman Old Style" w:cs="Arial"/>
          <w:sz w:val="28"/>
          <w:szCs w:val="28"/>
          <w:lang w:val="es-MX"/>
        </w:rPr>
        <w:t xml:space="preserve">, aclaró que la inspección </w:t>
      </w:r>
      <w:r w:rsidR="003B699B">
        <w:rPr>
          <w:rFonts w:ascii="Bookman Old Style" w:hAnsi="Bookman Old Style" w:cs="Arial"/>
          <w:sz w:val="28"/>
          <w:szCs w:val="28"/>
          <w:lang w:val="es-MX"/>
        </w:rPr>
        <w:t xml:space="preserve">como prueba autónoma </w:t>
      </w:r>
      <w:r w:rsidR="00F71F43">
        <w:rPr>
          <w:rFonts w:ascii="Bookman Old Style" w:hAnsi="Bookman Old Style" w:cs="Arial"/>
          <w:sz w:val="28"/>
          <w:szCs w:val="28"/>
          <w:lang w:val="es-MX"/>
        </w:rPr>
        <w:t>regulada en el artículo 435 de la Ley 906 de 2004</w:t>
      </w:r>
      <w:r w:rsidR="003B699B">
        <w:rPr>
          <w:rFonts w:ascii="Bookman Old Style" w:hAnsi="Bookman Old Style" w:cs="Arial"/>
          <w:sz w:val="28"/>
          <w:szCs w:val="28"/>
          <w:lang w:val="es-MX"/>
        </w:rPr>
        <w:t>,</w:t>
      </w:r>
      <w:r w:rsidR="00F71F43">
        <w:rPr>
          <w:rFonts w:ascii="Bookman Old Style" w:hAnsi="Bookman Old Style" w:cs="Arial"/>
          <w:sz w:val="28"/>
          <w:szCs w:val="28"/>
          <w:lang w:val="es-MX"/>
        </w:rPr>
        <w:t xml:space="preserve"> es distinta del acto de investigación realizado por policía judicial para la recolección de elementos materiales probatorios.</w:t>
      </w:r>
    </w:p>
    <w:p w:rsidR="003B699B" w:rsidRDefault="003B699B" w:rsidP="00695648">
      <w:pPr>
        <w:spacing w:line="360" w:lineRule="auto"/>
        <w:ind w:firstLine="708"/>
        <w:jc w:val="both"/>
        <w:rPr>
          <w:rFonts w:ascii="Bookman Old Style" w:hAnsi="Bookman Old Style" w:cs="Arial"/>
          <w:sz w:val="28"/>
          <w:szCs w:val="28"/>
          <w:lang w:val="es-MX"/>
        </w:rPr>
      </w:pPr>
    </w:p>
    <w:p w:rsidR="00DA7CEE" w:rsidRDefault="003B699B"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 xml:space="preserve">5. </w:t>
      </w:r>
      <w:r w:rsidR="00C628AC">
        <w:rPr>
          <w:rFonts w:ascii="Bookman Old Style" w:hAnsi="Bookman Old Style" w:cs="Arial"/>
          <w:sz w:val="28"/>
          <w:szCs w:val="28"/>
          <w:lang w:val="es-MX"/>
        </w:rPr>
        <w:tab/>
        <w:t>El Tribunal consideró que si bien la fiscalía no hizo un acápite aparte para la solicitud de la prueba documental, de los audios se extrae que los documentos allí referidos, contenidos en los informes FPJ11 2334690; 2346051 y 2363878, serán introducidos con los testigos de acreditación, elementos de prueba que fueron descubiertos oportunamente po</w:t>
      </w:r>
      <w:r w:rsidR="00A248F1">
        <w:rPr>
          <w:rFonts w:ascii="Bookman Old Style" w:hAnsi="Bookman Old Style" w:cs="Arial"/>
          <w:sz w:val="28"/>
          <w:szCs w:val="28"/>
          <w:lang w:val="es-MX"/>
        </w:rPr>
        <w:t>r la F</w:t>
      </w:r>
      <w:r w:rsidR="00C628AC">
        <w:rPr>
          <w:rFonts w:ascii="Bookman Old Style" w:hAnsi="Bookman Old Style" w:cs="Arial"/>
          <w:sz w:val="28"/>
          <w:szCs w:val="28"/>
          <w:lang w:val="es-MX"/>
        </w:rPr>
        <w:t>iscal</w:t>
      </w:r>
      <w:r w:rsidR="00A248F1">
        <w:rPr>
          <w:rFonts w:ascii="Bookman Old Style" w:hAnsi="Bookman Old Style" w:cs="Arial"/>
          <w:sz w:val="28"/>
          <w:szCs w:val="28"/>
          <w:lang w:val="es-MX"/>
        </w:rPr>
        <w:t>ía y respecto de los cuales indicó su pertinencia, conducencia y utilidad.</w:t>
      </w:r>
      <w:r w:rsidR="00244ED6">
        <w:rPr>
          <w:rFonts w:ascii="Bookman Old Style" w:hAnsi="Bookman Old Style" w:cs="Arial"/>
          <w:sz w:val="28"/>
          <w:szCs w:val="28"/>
          <w:lang w:val="es-MX"/>
        </w:rPr>
        <w:t xml:space="preserve"> </w:t>
      </w:r>
      <w:r w:rsidR="00A248F1">
        <w:rPr>
          <w:rFonts w:ascii="Bookman Old Style" w:hAnsi="Bookman Old Style" w:cs="Arial"/>
          <w:sz w:val="28"/>
          <w:szCs w:val="28"/>
          <w:lang w:val="es-MX"/>
        </w:rPr>
        <w:t xml:space="preserve">En este orden, pese a que la Fiscalía no fue muy ordenada en su exposición, con claridad meridiana se advirtió que al referirse a cada uno de los documentos y sustentar sobre su admisibilidad, pretendía </w:t>
      </w:r>
      <w:r w:rsidR="00BA5B6F">
        <w:rPr>
          <w:rFonts w:ascii="Bookman Old Style" w:hAnsi="Bookman Old Style" w:cs="Arial"/>
          <w:sz w:val="28"/>
          <w:szCs w:val="28"/>
          <w:lang w:val="es-MX"/>
        </w:rPr>
        <w:t xml:space="preserve">su decreto </w:t>
      </w:r>
      <w:r w:rsidR="00A248F1">
        <w:rPr>
          <w:rFonts w:ascii="Bookman Old Style" w:hAnsi="Bookman Old Style" w:cs="Arial"/>
          <w:sz w:val="28"/>
          <w:szCs w:val="28"/>
          <w:lang w:val="es-MX"/>
        </w:rPr>
        <w:t xml:space="preserve">como pruebas a incorporar en el juicio. </w:t>
      </w:r>
    </w:p>
    <w:p w:rsidR="00DA7CEE" w:rsidRDefault="00DA7CEE" w:rsidP="00695648">
      <w:pPr>
        <w:spacing w:line="360" w:lineRule="auto"/>
        <w:ind w:firstLine="708"/>
        <w:jc w:val="both"/>
        <w:rPr>
          <w:rFonts w:ascii="Bookman Old Style" w:hAnsi="Bookman Old Style" w:cs="Arial"/>
          <w:sz w:val="28"/>
          <w:szCs w:val="28"/>
          <w:lang w:val="es-MX"/>
        </w:rPr>
      </w:pPr>
    </w:p>
    <w:p w:rsidR="003B699B" w:rsidRDefault="00A248F1"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En cuanto a la alegada prueba ilegal, a juicio de la Sala</w:t>
      </w:r>
      <w:r w:rsidR="00244ED6">
        <w:rPr>
          <w:rFonts w:ascii="Bookman Old Style" w:hAnsi="Bookman Old Style" w:cs="Arial"/>
          <w:sz w:val="28"/>
          <w:szCs w:val="28"/>
          <w:lang w:val="es-MX"/>
        </w:rPr>
        <w:t xml:space="preserve"> de Decisión</w:t>
      </w:r>
      <w:r>
        <w:rPr>
          <w:rFonts w:ascii="Bookman Old Style" w:hAnsi="Bookman Old Style" w:cs="Arial"/>
          <w:sz w:val="28"/>
          <w:szCs w:val="28"/>
          <w:lang w:val="es-MX"/>
        </w:rPr>
        <w:t xml:space="preserve"> la Fiscalía se equivocó al referirse a la </w:t>
      </w:r>
      <w:r>
        <w:rPr>
          <w:rFonts w:ascii="Bookman Old Style" w:hAnsi="Bookman Old Style" w:cs="Arial"/>
          <w:sz w:val="28"/>
          <w:szCs w:val="28"/>
          <w:lang w:val="es-MX"/>
        </w:rPr>
        <w:lastRenderedPageBreak/>
        <w:t>prueba como una inspecci</w:t>
      </w:r>
      <w:r w:rsidR="00DA7CEE">
        <w:rPr>
          <w:rFonts w:ascii="Bookman Old Style" w:hAnsi="Bookman Old Style" w:cs="Arial"/>
          <w:sz w:val="28"/>
          <w:szCs w:val="28"/>
          <w:lang w:val="es-MX"/>
        </w:rPr>
        <w:t>ón judicial</w:t>
      </w:r>
      <w:r>
        <w:rPr>
          <w:rFonts w:ascii="Bookman Old Style" w:hAnsi="Bookman Old Style" w:cs="Arial"/>
          <w:sz w:val="28"/>
          <w:szCs w:val="28"/>
          <w:lang w:val="es-MX"/>
        </w:rPr>
        <w:t xml:space="preserve"> cuando en realidad se trata de un acto de investigación, pero </w:t>
      </w:r>
      <w:r w:rsidR="00244ED6">
        <w:rPr>
          <w:rFonts w:ascii="Bookman Old Style" w:hAnsi="Bookman Old Style" w:cs="Arial"/>
          <w:sz w:val="28"/>
          <w:szCs w:val="28"/>
          <w:lang w:val="es-MX"/>
        </w:rPr>
        <w:t xml:space="preserve">consideró </w:t>
      </w:r>
      <w:r>
        <w:rPr>
          <w:rFonts w:ascii="Bookman Old Style" w:hAnsi="Bookman Old Style" w:cs="Arial"/>
          <w:sz w:val="28"/>
          <w:szCs w:val="28"/>
          <w:lang w:val="es-MX"/>
        </w:rPr>
        <w:t>excesivo impedir la incorporaci</w:t>
      </w:r>
      <w:r w:rsidR="00BA5B6F">
        <w:rPr>
          <w:rFonts w:ascii="Bookman Old Style" w:hAnsi="Bookman Old Style" w:cs="Arial"/>
          <w:sz w:val="28"/>
          <w:szCs w:val="28"/>
          <w:lang w:val="es-MX"/>
        </w:rPr>
        <w:t xml:space="preserve">ón </w:t>
      </w:r>
      <w:r>
        <w:rPr>
          <w:rFonts w:ascii="Bookman Old Style" w:hAnsi="Bookman Old Style" w:cs="Arial"/>
          <w:sz w:val="28"/>
          <w:szCs w:val="28"/>
          <w:lang w:val="es-MX"/>
        </w:rPr>
        <w:t>de</w:t>
      </w:r>
      <w:r w:rsidR="00BA5B6F">
        <w:rPr>
          <w:rFonts w:ascii="Bookman Old Style" w:hAnsi="Bookman Old Style" w:cs="Arial"/>
          <w:sz w:val="28"/>
          <w:szCs w:val="28"/>
          <w:lang w:val="es-MX"/>
        </w:rPr>
        <w:t>l</w:t>
      </w:r>
      <w:r>
        <w:rPr>
          <w:rFonts w:ascii="Bookman Old Style" w:hAnsi="Bookman Old Style" w:cs="Arial"/>
          <w:sz w:val="28"/>
          <w:szCs w:val="28"/>
          <w:lang w:val="es-MX"/>
        </w:rPr>
        <w:t xml:space="preserve"> </w:t>
      </w:r>
      <w:r w:rsidR="00BA5B6F">
        <w:rPr>
          <w:rFonts w:ascii="Bookman Old Style" w:hAnsi="Bookman Old Style" w:cs="Arial"/>
          <w:sz w:val="28"/>
          <w:szCs w:val="28"/>
          <w:lang w:val="es-MX"/>
        </w:rPr>
        <w:t>expediente en el</w:t>
      </w:r>
      <w:r>
        <w:rPr>
          <w:rFonts w:ascii="Bookman Old Style" w:hAnsi="Bookman Old Style" w:cs="Arial"/>
          <w:sz w:val="28"/>
          <w:szCs w:val="28"/>
          <w:lang w:val="es-MX"/>
        </w:rPr>
        <w:t xml:space="preserve"> que se adoptaron las decisiones manifiestamente contrarias </w:t>
      </w:r>
      <w:r w:rsidR="00DA7CEE">
        <w:rPr>
          <w:rFonts w:ascii="Bookman Old Style" w:hAnsi="Bookman Old Style" w:cs="Arial"/>
          <w:sz w:val="28"/>
          <w:szCs w:val="28"/>
          <w:lang w:val="es-MX"/>
        </w:rPr>
        <w:t>a la ley, solo en razón de una equivocada denominación del acto a través del cual se recopiló.</w:t>
      </w:r>
      <w:r w:rsidR="003B699B">
        <w:rPr>
          <w:rFonts w:ascii="Bookman Old Style" w:hAnsi="Bookman Old Style" w:cs="Arial"/>
          <w:sz w:val="28"/>
          <w:szCs w:val="28"/>
          <w:lang w:val="es-MX"/>
        </w:rPr>
        <w:tab/>
      </w:r>
    </w:p>
    <w:p w:rsidR="00DA7CEE" w:rsidRDefault="00DA7CEE" w:rsidP="00695648">
      <w:pPr>
        <w:spacing w:line="360" w:lineRule="auto"/>
        <w:ind w:firstLine="708"/>
        <w:jc w:val="both"/>
        <w:rPr>
          <w:rFonts w:ascii="Bookman Old Style" w:hAnsi="Bookman Old Style" w:cs="Arial"/>
          <w:sz w:val="28"/>
          <w:szCs w:val="28"/>
          <w:lang w:val="es-MX"/>
        </w:rPr>
      </w:pPr>
    </w:p>
    <w:p w:rsidR="008C49C0" w:rsidRDefault="00DA7CEE"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En suma, desestimó la oposición de la defensa y decretó los testimonios de los investigadores del C.T.I. Amadeo Arteaga Vargas y Luis Eder López García (testigos de acreditaci</w:t>
      </w:r>
      <w:r w:rsidR="008C49C0">
        <w:rPr>
          <w:rFonts w:ascii="Bookman Old Style" w:hAnsi="Bookman Old Style" w:cs="Arial"/>
          <w:sz w:val="28"/>
          <w:szCs w:val="28"/>
          <w:lang w:val="es-MX"/>
        </w:rPr>
        <w:t>ón);</w:t>
      </w:r>
      <w:r>
        <w:rPr>
          <w:rFonts w:ascii="Bookman Old Style" w:hAnsi="Bookman Old Style" w:cs="Arial"/>
          <w:sz w:val="28"/>
          <w:szCs w:val="28"/>
          <w:lang w:val="es-MX"/>
        </w:rPr>
        <w:t xml:space="preserve"> las pruebas documentales relacionadas en los informes FPJ11 2334690; 2346051 y 2363878</w:t>
      </w:r>
      <w:r w:rsidR="008C49C0">
        <w:rPr>
          <w:rFonts w:ascii="Bookman Old Style" w:hAnsi="Bookman Old Style" w:cs="Arial"/>
          <w:sz w:val="28"/>
          <w:szCs w:val="28"/>
          <w:lang w:val="es-MX"/>
        </w:rPr>
        <w:t>; y</w:t>
      </w:r>
      <w:r>
        <w:rPr>
          <w:rFonts w:ascii="Bookman Old Style" w:hAnsi="Bookman Old Style" w:cs="Arial"/>
          <w:sz w:val="28"/>
          <w:szCs w:val="28"/>
          <w:lang w:val="es-MX"/>
        </w:rPr>
        <w:t xml:space="preserve"> las declaraciones de Alexis </w:t>
      </w:r>
      <w:proofErr w:type="spellStart"/>
      <w:r>
        <w:rPr>
          <w:rFonts w:ascii="Bookman Old Style" w:hAnsi="Bookman Old Style" w:cs="Arial"/>
          <w:sz w:val="28"/>
          <w:szCs w:val="28"/>
          <w:lang w:val="es-MX"/>
        </w:rPr>
        <w:t>Lakha</w:t>
      </w:r>
      <w:proofErr w:type="spellEnd"/>
      <w:r w:rsidR="008C49C0">
        <w:rPr>
          <w:rFonts w:ascii="Bookman Old Style" w:hAnsi="Bookman Old Style" w:cs="Arial"/>
          <w:sz w:val="28"/>
          <w:szCs w:val="28"/>
          <w:lang w:val="es-MX"/>
        </w:rPr>
        <w:t xml:space="preserve"> Puentes</w:t>
      </w:r>
      <w:r>
        <w:rPr>
          <w:rFonts w:ascii="Bookman Old Style" w:hAnsi="Bookman Old Style" w:cs="Arial"/>
          <w:sz w:val="28"/>
          <w:szCs w:val="28"/>
          <w:lang w:val="es-MX"/>
        </w:rPr>
        <w:t>, Lorna Cecilia Martínez Vélez y Alba Sosa</w:t>
      </w:r>
      <w:r w:rsidR="008C49C0">
        <w:rPr>
          <w:rFonts w:ascii="Bookman Old Style" w:hAnsi="Bookman Old Style" w:cs="Arial"/>
          <w:sz w:val="28"/>
          <w:szCs w:val="28"/>
          <w:lang w:val="es-MX"/>
        </w:rPr>
        <w:t xml:space="preserve"> Palencia. </w:t>
      </w:r>
    </w:p>
    <w:p w:rsidR="008C49C0" w:rsidRDefault="008C49C0" w:rsidP="00695648">
      <w:pPr>
        <w:spacing w:line="360" w:lineRule="auto"/>
        <w:ind w:firstLine="708"/>
        <w:jc w:val="both"/>
        <w:rPr>
          <w:rFonts w:ascii="Bookman Old Style" w:hAnsi="Bookman Old Style" w:cs="Arial"/>
          <w:sz w:val="28"/>
          <w:szCs w:val="28"/>
          <w:lang w:val="es-MX"/>
        </w:rPr>
      </w:pPr>
    </w:p>
    <w:p w:rsidR="008C49C0" w:rsidRDefault="008C49C0"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A su vez, rechazó los testimonios de Daniel Emiro Castaño González y Wilson López Argumedo por no haber sido enunciados oportunamente</w:t>
      </w:r>
      <w:r w:rsidR="00244ED6">
        <w:rPr>
          <w:rFonts w:ascii="Bookman Old Style" w:hAnsi="Bookman Old Style" w:cs="Arial"/>
          <w:sz w:val="28"/>
          <w:szCs w:val="28"/>
          <w:lang w:val="es-MX"/>
        </w:rPr>
        <w:t xml:space="preserve">. </w:t>
      </w:r>
      <w:r w:rsidR="00BF0355">
        <w:rPr>
          <w:rFonts w:ascii="Bookman Old Style" w:hAnsi="Bookman Old Style" w:cs="Arial"/>
          <w:sz w:val="28"/>
          <w:szCs w:val="28"/>
          <w:lang w:val="es-MX"/>
        </w:rPr>
        <w:t>De igual manera, i</w:t>
      </w:r>
      <w:r w:rsidR="00244ED6">
        <w:rPr>
          <w:rFonts w:ascii="Bookman Old Style" w:hAnsi="Bookman Old Style" w:cs="Arial"/>
          <w:sz w:val="28"/>
          <w:szCs w:val="28"/>
          <w:lang w:val="es-MX"/>
        </w:rPr>
        <w:t>nadmitió</w:t>
      </w:r>
      <w:r w:rsidR="00BF0355">
        <w:rPr>
          <w:rFonts w:ascii="Bookman Old Style" w:hAnsi="Bookman Old Style" w:cs="Arial"/>
          <w:sz w:val="28"/>
          <w:szCs w:val="28"/>
          <w:lang w:val="es-MX"/>
        </w:rPr>
        <w:t xml:space="preserve"> la</w:t>
      </w:r>
      <w:r w:rsidR="0099579D">
        <w:rPr>
          <w:rFonts w:ascii="Bookman Old Style" w:hAnsi="Bookman Old Style" w:cs="Arial"/>
          <w:sz w:val="28"/>
          <w:szCs w:val="28"/>
          <w:lang w:val="es-MX"/>
        </w:rPr>
        <w:t xml:space="preserve"> restante prueba testimonial al</w:t>
      </w:r>
      <w:r w:rsidR="00BF0355">
        <w:rPr>
          <w:rFonts w:ascii="Bookman Old Style" w:hAnsi="Bookman Old Style" w:cs="Arial"/>
          <w:sz w:val="28"/>
          <w:szCs w:val="28"/>
          <w:lang w:val="es-MX"/>
        </w:rPr>
        <w:t xml:space="preserve"> considerarla repetitiva, así como</w:t>
      </w:r>
      <w:r w:rsidR="00244ED6">
        <w:rPr>
          <w:rFonts w:ascii="Bookman Old Style" w:hAnsi="Bookman Old Style" w:cs="Arial"/>
          <w:sz w:val="28"/>
          <w:szCs w:val="28"/>
          <w:lang w:val="es-MX"/>
        </w:rPr>
        <w:t xml:space="preserve"> </w:t>
      </w:r>
      <w:r>
        <w:rPr>
          <w:rFonts w:ascii="Bookman Old Style" w:hAnsi="Bookman Old Style" w:cs="Arial"/>
          <w:sz w:val="28"/>
          <w:szCs w:val="28"/>
          <w:lang w:val="es-MX"/>
        </w:rPr>
        <w:t xml:space="preserve">la versión libre </w:t>
      </w:r>
      <w:r w:rsidR="00244ED6">
        <w:rPr>
          <w:rFonts w:ascii="Bookman Old Style" w:hAnsi="Bookman Old Style" w:cs="Arial"/>
          <w:sz w:val="28"/>
          <w:szCs w:val="28"/>
          <w:lang w:val="es-MX"/>
        </w:rPr>
        <w:t>rendida por</w:t>
      </w:r>
      <w:r>
        <w:rPr>
          <w:rFonts w:ascii="Bookman Old Style" w:hAnsi="Bookman Old Style" w:cs="Arial"/>
          <w:sz w:val="28"/>
          <w:szCs w:val="28"/>
          <w:lang w:val="es-MX"/>
        </w:rPr>
        <w:t xml:space="preserve"> José Miguel Chica ante la Procuradur</w:t>
      </w:r>
      <w:r w:rsidR="006614F7">
        <w:rPr>
          <w:rFonts w:ascii="Bookman Old Style" w:hAnsi="Bookman Old Style" w:cs="Arial"/>
          <w:sz w:val="28"/>
          <w:szCs w:val="28"/>
          <w:lang w:val="es-MX"/>
        </w:rPr>
        <w:t>ía Regional</w:t>
      </w:r>
      <w:r w:rsidR="00AB4879">
        <w:rPr>
          <w:rFonts w:ascii="Bookman Old Style" w:hAnsi="Bookman Old Style" w:cs="Arial"/>
          <w:sz w:val="28"/>
          <w:szCs w:val="28"/>
          <w:lang w:val="es-MX"/>
        </w:rPr>
        <w:t>,</w:t>
      </w:r>
      <w:r>
        <w:rPr>
          <w:rFonts w:ascii="Bookman Old Style" w:hAnsi="Bookman Old Style" w:cs="Arial"/>
          <w:sz w:val="28"/>
          <w:szCs w:val="28"/>
          <w:lang w:val="es-MX"/>
        </w:rPr>
        <w:t xml:space="preserve"> </w:t>
      </w:r>
      <w:r w:rsidR="0099579D">
        <w:rPr>
          <w:rFonts w:ascii="Bookman Old Style" w:hAnsi="Bookman Old Style" w:cs="Arial"/>
          <w:sz w:val="28"/>
          <w:szCs w:val="28"/>
          <w:lang w:val="es-MX"/>
        </w:rPr>
        <w:t xml:space="preserve">pues </w:t>
      </w:r>
      <w:r>
        <w:rPr>
          <w:rFonts w:ascii="Bookman Old Style" w:hAnsi="Bookman Old Style" w:cs="Arial"/>
          <w:sz w:val="28"/>
          <w:szCs w:val="28"/>
          <w:lang w:val="es-MX"/>
        </w:rPr>
        <w:t xml:space="preserve">no </w:t>
      </w:r>
      <w:r w:rsidR="0099579D">
        <w:rPr>
          <w:rFonts w:ascii="Bookman Old Style" w:hAnsi="Bookman Old Style" w:cs="Arial"/>
          <w:sz w:val="28"/>
          <w:szCs w:val="28"/>
          <w:lang w:val="es-MX"/>
        </w:rPr>
        <w:t>se sustentó su pertinencia, conducencia y utilidad.  A la par, denegó la incorporación de las</w:t>
      </w:r>
      <w:r>
        <w:rPr>
          <w:rFonts w:ascii="Bookman Old Style" w:hAnsi="Bookman Old Style" w:cs="Arial"/>
          <w:sz w:val="28"/>
          <w:szCs w:val="28"/>
          <w:lang w:val="es-MX"/>
        </w:rPr>
        <w:t xml:space="preserve"> entrevistas </w:t>
      </w:r>
      <w:r w:rsidR="00244ED6">
        <w:rPr>
          <w:rFonts w:ascii="Bookman Old Style" w:hAnsi="Bookman Old Style" w:cs="Arial"/>
          <w:sz w:val="28"/>
          <w:szCs w:val="28"/>
          <w:lang w:val="es-MX"/>
        </w:rPr>
        <w:t xml:space="preserve">rendidas por </w:t>
      </w:r>
      <w:r>
        <w:rPr>
          <w:rFonts w:ascii="Bookman Old Style" w:hAnsi="Bookman Old Style" w:cs="Arial"/>
          <w:sz w:val="28"/>
          <w:szCs w:val="28"/>
          <w:lang w:val="es-MX"/>
        </w:rPr>
        <w:t>los t</w:t>
      </w:r>
      <w:r w:rsidR="00244ED6">
        <w:rPr>
          <w:rFonts w:ascii="Bookman Old Style" w:hAnsi="Bookman Old Style" w:cs="Arial"/>
          <w:sz w:val="28"/>
          <w:szCs w:val="28"/>
          <w:lang w:val="es-MX"/>
        </w:rPr>
        <w:t xml:space="preserve">estigos </w:t>
      </w:r>
      <w:r w:rsidR="00BF0355">
        <w:rPr>
          <w:rFonts w:ascii="Bookman Old Style" w:hAnsi="Bookman Old Style" w:cs="Arial"/>
          <w:sz w:val="28"/>
          <w:szCs w:val="28"/>
          <w:lang w:val="es-MX"/>
        </w:rPr>
        <w:t xml:space="preserve">y el </w:t>
      </w:r>
      <w:r w:rsidR="0099579D">
        <w:rPr>
          <w:rFonts w:ascii="Bookman Old Style" w:hAnsi="Bookman Old Style" w:cs="Arial"/>
          <w:sz w:val="28"/>
          <w:szCs w:val="28"/>
          <w:lang w:val="es-MX"/>
        </w:rPr>
        <w:t xml:space="preserve">interrogatorio del </w:t>
      </w:r>
      <w:r w:rsidR="00244ED6">
        <w:rPr>
          <w:rFonts w:ascii="Bookman Old Style" w:hAnsi="Bookman Old Style" w:cs="Arial"/>
          <w:sz w:val="28"/>
          <w:szCs w:val="28"/>
          <w:lang w:val="es-MX"/>
        </w:rPr>
        <w:t>a</w:t>
      </w:r>
      <w:r w:rsidR="00BF0355">
        <w:rPr>
          <w:rFonts w:ascii="Bookman Old Style" w:hAnsi="Bookman Old Style" w:cs="Arial"/>
          <w:sz w:val="28"/>
          <w:szCs w:val="28"/>
          <w:lang w:val="es-MX"/>
        </w:rPr>
        <w:t>cusado,</w:t>
      </w:r>
      <w:r w:rsidR="00244ED6">
        <w:rPr>
          <w:rFonts w:ascii="Bookman Old Style" w:hAnsi="Bookman Old Style" w:cs="Arial"/>
          <w:sz w:val="28"/>
          <w:szCs w:val="28"/>
          <w:lang w:val="es-MX"/>
        </w:rPr>
        <w:t xml:space="preserve"> por no constituir medios de prueba</w:t>
      </w:r>
      <w:r>
        <w:rPr>
          <w:rFonts w:ascii="Bookman Old Style" w:hAnsi="Bookman Old Style" w:cs="Arial"/>
          <w:sz w:val="28"/>
          <w:szCs w:val="28"/>
          <w:lang w:val="es-MX"/>
        </w:rPr>
        <w:t>.</w:t>
      </w:r>
      <w:r w:rsidR="00BF0355">
        <w:rPr>
          <w:rFonts w:ascii="Bookman Old Style" w:hAnsi="Bookman Old Style" w:cs="Arial"/>
          <w:sz w:val="28"/>
          <w:szCs w:val="28"/>
          <w:lang w:val="es-MX"/>
        </w:rPr>
        <w:t xml:space="preserve"> </w:t>
      </w:r>
    </w:p>
    <w:p w:rsidR="00AB4879" w:rsidRDefault="00AB4879" w:rsidP="00695648">
      <w:pPr>
        <w:spacing w:line="360" w:lineRule="auto"/>
        <w:ind w:firstLine="708"/>
        <w:jc w:val="both"/>
        <w:rPr>
          <w:rFonts w:ascii="Bookman Old Style" w:hAnsi="Bookman Old Style" w:cs="Arial"/>
          <w:sz w:val="28"/>
          <w:szCs w:val="28"/>
          <w:lang w:val="es-MX"/>
        </w:rPr>
      </w:pPr>
    </w:p>
    <w:p w:rsidR="00AB4879" w:rsidRDefault="00AB4879"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 xml:space="preserve">6. </w:t>
      </w:r>
      <w:r>
        <w:rPr>
          <w:rFonts w:ascii="Bookman Old Style" w:hAnsi="Bookman Old Style" w:cs="Arial"/>
          <w:sz w:val="28"/>
          <w:szCs w:val="28"/>
          <w:lang w:val="es-MX"/>
        </w:rPr>
        <w:tab/>
        <w:t>Notifica</w:t>
      </w:r>
      <w:r w:rsidR="00BF0355">
        <w:rPr>
          <w:rFonts w:ascii="Bookman Old Style" w:hAnsi="Bookman Old Style" w:cs="Arial"/>
          <w:sz w:val="28"/>
          <w:szCs w:val="28"/>
          <w:lang w:val="es-MX"/>
        </w:rPr>
        <w:t>da en estrados la decisión, la F</w:t>
      </w:r>
      <w:r>
        <w:rPr>
          <w:rFonts w:ascii="Bookman Old Style" w:hAnsi="Bookman Old Style" w:cs="Arial"/>
          <w:sz w:val="28"/>
          <w:szCs w:val="28"/>
          <w:lang w:val="es-MX"/>
        </w:rPr>
        <w:t xml:space="preserve">iscalía y el Ministerio Público manifestaron su conformidad, mientras que la defensa interpuso el recurso de reposición y en subsidio apelación contra el decreto de pruebas. Como </w:t>
      </w:r>
      <w:r>
        <w:rPr>
          <w:rFonts w:ascii="Bookman Old Style" w:hAnsi="Bookman Old Style" w:cs="Arial"/>
          <w:sz w:val="28"/>
          <w:szCs w:val="28"/>
          <w:lang w:val="es-MX"/>
        </w:rPr>
        <w:lastRenderedPageBreak/>
        <w:t>sustento, insistió en que la prueba documental no fue enunciada oportunamente, pues el delegado de la fiscalía solo enunció la prueba testimonial directa y de acreditación, por lo que debe entenderse que desistió de esos medios de convicción. De igual manera reiteró su solicitud de inadmisión de la prueba documental en su totalidad, dada la falta de sustentación sobre su pertinencia, conducencia y ut</w:t>
      </w:r>
      <w:r w:rsidR="006614F7">
        <w:rPr>
          <w:rFonts w:ascii="Bookman Old Style" w:hAnsi="Bookman Old Style" w:cs="Arial"/>
          <w:sz w:val="28"/>
          <w:szCs w:val="28"/>
          <w:lang w:val="es-MX"/>
        </w:rPr>
        <w:t>i</w:t>
      </w:r>
      <w:r>
        <w:rPr>
          <w:rFonts w:ascii="Bookman Old Style" w:hAnsi="Bookman Old Style" w:cs="Arial"/>
          <w:sz w:val="28"/>
          <w:szCs w:val="28"/>
          <w:lang w:val="es-MX"/>
        </w:rPr>
        <w:t>lidad.</w:t>
      </w:r>
    </w:p>
    <w:p w:rsidR="00AB4879" w:rsidRDefault="00AB4879" w:rsidP="00695648">
      <w:pPr>
        <w:spacing w:line="360" w:lineRule="auto"/>
        <w:ind w:firstLine="708"/>
        <w:jc w:val="both"/>
        <w:rPr>
          <w:rFonts w:ascii="Bookman Old Style" w:hAnsi="Bookman Old Style" w:cs="Arial"/>
          <w:sz w:val="28"/>
          <w:szCs w:val="28"/>
          <w:lang w:val="es-MX"/>
        </w:rPr>
      </w:pPr>
    </w:p>
    <w:p w:rsidR="00BA5B6F" w:rsidRDefault="00AB4879"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 xml:space="preserve">7. </w:t>
      </w:r>
      <w:r w:rsidR="006614F7">
        <w:rPr>
          <w:rFonts w:ascii="Bookman Old Style" w:hAnsi="Bookman Old Style" w:cs="Arial"/>
          <w:sz w:val="28"/>
          <w:szCs w:val="28"/>
          <w:lang w:val="es-MX"/>
        </w:rPr>
        <w:tab/>
      </w:r>
      <w:r w:rsidR="00BF0355">
        <w:rPr>
          <w:rFonts w:ascii="Bookman Old Style" w:hAnsi="Bookman Old Style" w:cs="Arial"/>
          <w:sz w:val="28"/>
          <w:szCs w:val="28"/>
          <w:lang w:val="es-MX"/>
        </w:rPr>
        <w:t>Al resolver el recurso horizontal, e</w:t>
      </w:r>
      <w:r w:rsidR="006614F7">
        <w:rPr>
          <w:rFonts w:ascii="Bookman Old Style" w:hAnsi="Bookman Old Style" w:cs="Arial"/>
          <w:sz w:val="28"/>
          <w:szCs w:val="28"/>
          <w:lang w:val="es-MX"/>
        </w:rPr>
        <w:t>l Tribunal</w:t>
      </w:r>
      <w:r w:rsidR="00BF0355">
        <w:rPr>
          <w:rFonts w:ascii="Bookman Old Style" w:hAnsi="Bookman Old Style" w:cs="Arial"/>
          <w:sz w:val="28"/>
          <w:szCs w:val="28"/>
          <w:lang w:val="es-MX"/>
        </w:rPr>
        <w:t xml:space="preserve"> decidió reponer </w:t>
      </w:r>
      <w:r w:rsidR="006614F7">
        <w:rPr>
          <w:rFonts w:ascii="Bookman Old Style" w:hAnsi="Bookman Old Style" w:cs="Arial"/>
          <w:sz w:val="28"/>
          <w:szCs w:val="28"/>
          <w:lang w:val="es-MX"/>
        </w:rPr>
        <w:t>su decisión, en el sentido de inadmitir como prueba documental</w:t>
      </w:r>
      <w:r w:rsidR="00BA5B6F">
        <w:rPr>
          <w:rFonts w:ascii="Bookman Old Style" w:hAnsi="Bookman Old Style" w:cs="Arial"/>
          <w:sz w:val="28"/>
          <w:szCs w:val="28"/>
          <w:lang w:val="es-MX"/>
        </w:rPr>
        <w:t xml:space="preserve"> las siguientes</w:t>
      </w:r>
      <w:r w:rsidR="006614F7">
        <w:rPr>
          <w:rFonts w:ascii="Bookman Old Style" w:hAnsi="Bookman Old Style" w:cs="Arial"/>
          <w:sz w:val="28"/>
          <w:szCs w:val="28"/>
          <w:lang w:val="es-MX"/>
        </w:rPr>
        <w:t>: i) decisión de la Contraloría Departamental del 11 de enero de 2012, mediante la cual se archiva la investigación fiscal al acusado; ii) fallo de la Procuraduría Regional de Córdoba en el que se sanciona a José Miguel Chica</w:t>
      </w:r>
      <w:r w:rsidR="007F7E6E">
        <w:rPr>
          <w:rFonts w:ascii="Bookman Old Style" w:hAnsi="Bookman Old Style" w:cs="Arial"/>
          <w:sz w:val="28"/>
          <w:szCs w:val="28"/>
          <w:lang w:val="es-MX"/>
        </w:rPr>
        <w:t>; iii) Resolución No. 4305 de 2008 de la Secretaría de Educación de Bogotá; y iv) Sentencia del Tribunal Superior de Montería en la acción de tutela de Fiduciaria La Previsora S.A. contra el Juzgado Promiscuo del Circuito de Planeta Rica</w:t>
      </w:r>
      <w:r w:rsidR="00F94D8B">
        <w:rPr>
          <w:rFonts w:ascii="Bookman Old Style" w:hAnsi="Bookman Old Style" w:cs="Arial"/>
          <w:sz w:val="28"/>
          <w:szCs w:val="28"/>
          <w:lang w:val="es-MX"/>
        </w:rPr>
        <w:t>; todas estas</w:t>
      </w:r>
      <w:r w:rsidR="00BA5B6F">
        <w:rPr>
          <w:rFonts w:ascii="Bookman Old Style" w:hAnsi="Bookman Old Style" w:cs="Arial"/>
          <w:sz w:val="28"/>
          <w:szCs w:val="28"/>
          <w:lang w:val="es-MX"/>
        </w:rPr>
        <w:t>, por cuanto la Fiscal</w:t>
      </w:r>
      <w:r w:rsidR="00BF0355">
        <w:rPr>
          <w:rFonts w:ascii="Bookman Old Style" w:hAnsi="Bookman Old Style" w:cs="Arial"/>
          <w:sz w:val="28"/>
          <w:szCs w:val="28"/>
          <w:lang w:val="es-MX"/>
        </w:rPr>
        <w:t>ía nada dijo en torno a su perti</w:t>
      </w:r>
      <w:r w:rsidR="00BA5B6F">
        <w:rPr>
          <w:rFonts w:ascii="Bookman Old Style" w:hAnsi="Bookman Old Style" w:cs="Arial"/>
          <w:sz w:val="28"/>
          <w:szCs w:val="28"/>
          <w:lang w:val="es-MX"/>
        </w:rPr>
        <w:t>nencia, conducencia y utilidad.</w:t>
      </w:r>
    </w:p>
    <w:p w:rsidR="00F94D8B" w:rsidRDefault="00F94D8B" w:rsidP="00695648">
      <w:pPr>
        <w:spacing w:line="360" w:lineRule="auto"/>
        <w:ind w:firstLine="708"/>
        <w:jc w:val="both"/>
        <w:rPr>
          <w:rFonts w:ascii="Bookman Old Style" w:hAnsi="Bookman Old Style" w:cs="Arial"/>
          <w:sz w:val="28"/>
          <w:szCs w:val="28"/>
          <w:lang w:val="es-MX"/>
        </w:rPr>
      </w:pPr>
    </w:p>
    <w:p w:rsidR="00F94D8B" w:rsidRDefault="00F94D8B"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 xml:space="preserve">A la par, denegó el recurso de apelación interpuesto subsidiariamente por la defensa contra el auto que decretó pruebas, por lo cual </w:t>
      </w:r>
      <w:r w:rsidR="00BF0355">
        <w:rPr>
          <w:rFonts w:ascii="Bookman Old Style" w:hAnsi="Bookman Old Style" w:cs="Arial"/>
          <w:sz w:val="28"/>
          <w:szCs w:val="28"/>
          <w:lang w:val="es-MX"/>
        </w:rPr>
        <w:t xml:space="preserve">la defensa </w:t>
      </w:r>
      <w:r>
        <w:rPr>
          <w:rFonts w:ascii="Bookman Old Style" w:hAnsi="Bookman Old Style" w:cs="Arial"/>
          <w:sz w:val="28"/>
          <w:szCs w:val="28"/>
          <w:lang w:val="es-MX"/>
        </w:rPr>
        <w:t xml:space="preserve">interpuso </w:t>
      </w:r>
      <w:r w:rsidR="00BF0355">
        <w:rPr>
          <w:rFonts w:ascii="Bookman Old Style" w:hAnsi="Bookman Old Style" w:cs="Arial"/>
          <w:sz w:val="28"/>
          <w:szCs w:val="28"/>
          <w:lang w:val="es-MX"/>
        </w:rPr>
        <w:t xml:space="preserve">el de </w:t>
      </w:r>
      <w:r>
        <w:rPr>
          <w:rFonts w:ascii="Bookman Old Style" w:hAnsi="Bookman Old Style" w:cs="Arial"/>
          <w:sz w:val="28"/>
          <w:szCs w:val="28"/>
          <w:lang w:val="es-MX"/>
        </w:rPr>
        <w:t>queja</w:t>
      </w:r>
      <w:r w:rsidR="00965F21">
        <w:rPr>
          <w:rFonts w:ascii="Bookman Old Style" w:hAnsi="Bookman Old Style" w:cs="Arial"/>
          <w:sz w:val="28"/>
          <w:szCs w:val="28"/>
          <w:lang w:val="es-MX"/>
        </w:rPr>
        <w:t>, trámite</w:t>
      </w:r>
      <w:r>
        <w:rPr>
          <w:rFonts w:ascii="Bookman Old Style" w:hAnsi="Bookman Old Style" w:cs="Arial"/>
          <w:sz w:val="28"/>
          <w:szCs w:val="28"/>
          <w:lang w:val="es-MX"/>
        </w:rPr>
        <w:t xml:space="preserve"> que se surte por separado</w:t>
      </w:r>
      <w:r w:rsidR="00BF0355">
        <w:rPr>
          <w:rFonts w:ascii="Bookman Old Style" w:hAnsi="Bookman Old Style" w:cs="Arial"/>
          <w:sz w:val="28"/>
          <w:szCs w:val="28"/>
          <w:lang w:val="es-MX"/>
        </w:rPr>
        <w:t xml:space="preserve"> ante esta misma Sala</w:t>
      </w:r>
      <w:r>
        <w:rPr>
          <w:rFonts w:ascii="Bookman Old Style" w:hAnsi="Bookman Old Style" w:cs="Arial"/>
          <w:sz w:val="28"/>
          <w:szCs w:val="28"/>
          <w:lang w:val="es-MX"/>
        </w:rPr>
        <w:t>.</w:t>
      </w:r>
    </w:p>
    <w:p w:rsidR="00BA5B6F" w:rsidRDefault="00BA5B6F" w:rsidP="00695648">
      <w:pPr>
        <w:spacing w:line="360" w:lineRule="auto"/>
        <w:ind w:firstLine="708"/>
        <w:jc w:val="both"/>
        <w:rPr>
          <w:rFonts w:ascii="Bookman Old Style" w:hAnsi="Bookman Old Style" w:cs="Arial"/>
          <w:sz w:val="28"/>
          <w:szCs w:val="28"/>
          <w:lang w:val="es-MX"/>
        </w:rPr>
      </w:pPr>
    </w:p>
    <w:p w:rsidR="008C5D7D" w:rsidRDefault="00BA5B6F"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 xml:space="preserve">8. </w:t>
      </w:r>
      <w:r>
        <w:rPr>
          <w:rFonts w:ascii="Bookman Old Style" w:hAnsi="Bookman Old Style" w:cs="Arial"/>
          <w:sz w:val="28"/>
          <w:szCs w:val="28"/>
          <w:lang w:val="es-MX"/>
        </w:rPr>
        <w:tab/>
      </w:r>
      <w:r w:rsidR="00F94D8B">
        <w:rPr>
          <w:rFonts w:ascii="Bookman Old Style" w:hAnsi="Bookman Old Style" w:cs="Arial"/>
          <w:sz w:val="28"/>
          <w:szCs w:val="28"/>
          <w:lang w:val="es-MX"/>
        </w:rPr>
        <w:t xml:space="preserve">Notificado el auto que repuso el decreto de pruebas, el delegado del Ministerio Público interpuso y </w:t>
      </w:r>
      <w:r w:rsidR="00F94D8B">
        <w:rPr>
          <w:rFonts w:ascii="Bookman Old Style" w:hAnsi="Bookman Old Style" w:cs="Arial"/>
          <w:sz w:val="28"/>
          <w:szCs w:val="28"/>
          <w:lang w:val="es-MX"/>
        </w:rPr>
        <w:lastRenderedPageBreak/>
        <w:t>sustentó el recurso de apelación</w:t>
      </w:r>
      <w:r w:rsidR="006614F7">
        <w:rPr>
          <w:rFonts w:ascii="Bookman Old Style" w:hAnsi="Bookman Old Style" w:cs="Arial"/>
          <w:sz w:val="28"/>
          <w:szCs w:val="28"/>
          <w:lang w:val="es-MX"/>
        </w:rPr>
        <w:t xml:space="preserve"> </w:t>
      </w:r>
      <w:r w:rsidR="00F94D8B">
        <w:rPr>
          <w:rFonts w:ascii="Bookman Old Style" w:hAnsi="Bookman Old Style" w:cs="Arial"/>
          <w:sz w:val="28"/>
          <w:szCs w:val="28"/>
          <w:lang w:val="es-MX"/>
        </w:rPr>
        <w:t>que ocupa la atención de la Sala.</w:t>
      </w:r>
      <w:r w:rsidR="00AB4879">
        <w:rPr>
          <w:rFonts w:ascii="Bookman Old Style" w:hAnsi="Bookman Old Style" w:cs="Arial"/>
          <w:sz w:val="28"/>
          <w:szCs w:val="28"/>
          <w:lang w:val="es-MX"/>
        </w:rPr>
        <w:tab/>
      </w:r>
      <w:r w:rsidR="00965F21">
        <w:rPr>
          <w:rFonts w:ascii="Bookman Old Style" w:hAnsi="Bookman Old Style" w:cs="Arial"/>
          <w:sz w:val="28"/>
          <w:szCs w:val="28"/>
          <w:lang w:val="es-MX"/>
        </w:rPr>
        <w:t xml:space="preserve"> </w:t>
      </w:r>
    </w:p>
    <w:p w:rsidR="008C5D7D" w:rsidRDefault="008C5D7D" w:rsidP="00695648">
      <w:pPr>
        <w:spacing w:line="360" w:lineRule="auto"/>
        <w:ind w:firstLine="708"/>
        <w:jc w:val="both"/>
        <w:rPr>
          <w:rFonts w:ascii="Bookman Old Style" w:hAnsi="Bookman Old Style" w:cs="Arial"/>
          <w:sz w:val="28"/>
          <w:szCs w:val="28"/>
          <w:lang w:val="es-MX"/>
        </w:rPr>
      </w:pPr>
    </w:p>
    <w:p w:rsidR="00DA7CEE" w:rsidRDefault="00965F21" w:rsidP="00695648">
      <w:pPr>
        <w:spacing w:line="360" w:lineRule="auto"/>
        <w:ind w:firstLine="708"/>
        <w:jc w:val="both"/>
        <w:rPr>
          <w:rFonts w:ascii="Bookman Old Style" w:hAnsi="Bookman Old Style" w:cs="Arial"/>
          <w:sz w:val="28"/>
          <w:szCs w:val="28"/>
          <w:lang w:val="es-MX"/>
        </w:rPr>
      </w:pPr>
      <w:r>
        <w:rPr>
          <w:rFonts w:ascii="Bookman Old Style" w:hAnsi="Bookman Old Style" w:cs="Arial"/>
          <w:sz w:val="28"/>
          <w:szCs w:val="28"/>
          <w:lang w:val="es-MX"/>
        </w:rPr>
        <w:t>En sustento manifestó que acorde con la jurisprudencia de esta Corte, el auto que admite la prueba es inimpugnable, por lo que en su sentir, debió rechazarse no solo el recurso de apelación interpuesto como subsidiario, sino el de</w:t>
      </w:r>
      <w:r w:rsidR="008C5D7D">
        <w:rPr>
          <w:rFonts w:ascii="Bookman Old Style" w:hAnsi="Bookman Old Style" w:cs="Arial"/>
          <w:sz w:val="28"/>
          <w:szCs w:val="28"/>
          <w:lang w:val="es-MX"/>
        </w:rPr>
        <w:t xml:space="preserve"> </w:t>
      </w:r>
      <w:r>
        <w:rPr>
          <w:rFonts w:ascii="Bookman Old Style" w:hAnsi="Bookman Old Style" w:cs="Arial"/>
          <w:sz w:val="28"/>
          <w:szCs w:val="28"/>
          <w:lang w:val="es-MX"/>
        </w:rPr>
        <w:t xml:space="preserve">reposición principal, pues lógicamente uno le sigue al otro. En opinión del Ministerio Público, ambos recursos son improcedentes contra el auto que decreta pruebas y por ello, el Tribunal </w:t>
      </w:r>
      <w:r w:rsidR="008C5D7D">
        <w:rPr>
          <w:rFonts w:ascii="Bookman Old Style" w:hAnsi="Bookman Old Style" w:cs="Arial"/>
          <w:sz w:val="28"/>
          <w:szCs w:val="28"/>
          <w:lang w:val="es-MX"/>
        </w:rPr>
        <w:t xml:space="preserve">estaba impedido para </w:t>
      </w:r>
      <w:r>
        <w:rPr>
          <w:rFonts w:ascii="Bookman Old Style" w:hAnsi="Bookman Old Style" w:cs="Arial"/>
          <w:sz w:val="28"/>
          <w:szCs w:val="28"/>
          <w:lang w:val="es-MX"/>
        </w:rPr>
        <w:t>revaluar la decisión ya adoptada.</w:t>
      </w:r>
      <w:r w:rsidR="008C5D7D">
        <w:rPr>
          <w:rFonts w:ascii="Bookman Old Style" w:hAnsi="Bookman Old Style" w:cs="Arial"/>
          <w:sz w:val="28"/>
          <w:szCs w:val="28"/>
          <w:lang w:val="es-MX"/>
        </w:rPr>
        <w:t xml:space="preserve"> Solicita, en consecuencia, se revoque el auto que repuso la decisión que ordenó las pruebas de la Fiscalía.</w:t>
      </w:r>
    </w:p>
    <w:p w:rsidR="00446B9C" w:rsidRPr="00446B9C" w:rsidRDefault="00446B9C" w:rsidP="00437E34">
      <w:pPr>
        <w:spacing w:line="360" w:lineRule="auto"/>
        <w:jc w:val="center"/>
        <w:rPr>
          <w:rFonts w:ascii="Bookman Old Style" w:hAnsi="Bookman Old Style" w:cs="Arial"/>
          <w:b/>
          <w:sz w:val="28"/>
          <w:szCs w:val="28"/>
          <w:lang w:val="es-MX"/>
        </w:rPr>
      </w:pPr>
    </w:p>
    <w:p w:rsidR="00E1140F" w:rsidRPr="001D6090" w:rsidRDefault="00E1140F" w:rsidP="001D6090">
      <w:pPr>
        <w:spacing w:line="360" w:lineRule="auto"/>
        <w:ind w:right="20"/>
        <w:jc w:val="both"/>
        <w:rPr>
          <w:rFonts w:ascii="Bookman Old Style" w:hAnsi="Bookman Old Style" w:cs="Arial"/>
          <w:sz w:val="28"/>
          <w:szCs w:val="28"/>
          <w:lang w:val="es-MX"/>
        </w:rPr>
      </w:pPr>
    </w:p>
    <w:p w:rsidR="008644E9" w:rsidRPr="00790FA0" w:rsidRDefault="008644E9" w:rsidP="00E4138C">
      <w:pPr>
        <w:spacing w:line="360" w:lineRule="auto"/>
        <w:ind w:right="20"/>
        <w:jc w:val="center"/>
        <w:rPr>
          <w:rFonts w:ascii="Bookman Old Style" w:hAnsi="Bookman Old Style" w:cs="Arial"/>
          <w:b/>
          <w:sz w:val="28"/>
          <w:szCs w:val="28"/>
          <w:lang w:val="es-MX"/>
        </w:rPr>
      </w:pPr>
      <w:r>
        <w:rPr>
          <w:rFonts w:ascii="Bookman Old Style" w:hAnsi="Bookman Old Style" w:cs="Arial"/>
          <w:b/>
          <w:sz w:val="28"/>
          <w:szCs w:val="28"/>
          <w:lang w:val="es-MX"/>
        </w:rPr>
        <w:t>CONSIDERACIONES</w:t>
      </w:r>
      <w:r w:rsidR="00F16BFC">
        <w:rPr>
          <w:rFonts w:ascii="Bookman Old Style" w:hAnsi="Bookman Old Style" w:cs="Arial"/>
          <w:b/>
          <w:sz w:val="28"/>
          <w:szCs w:val="28"/>
          <w:lang w:val="es-MX"/>
        </w:rPr>
        <w:t>:</w:t>
      </w:r>
    </w:p>
    <w:p w:rsidR="00F563F3" w:rsidRPr="00790FA0" w:rsidRDefault="00F563F3" w:rsidP="00F563F3">
      <w:pPr>
        <w:spacing w:line="360" w:lineRule="auto"/>
        <w:ind w:right="20"/>
        <w:jc w:val="both"/>
        <w:rPr>
          <w:rFonts w:ascii="Bookman Old Style" w:hAnsi="Bookman Old Style" w:cs="Arial"/>
          <w:b/>
          <w:sz w:val="28"/>
          <w:szCs w:val="28"/>
          <w:lang w:val="es-MX"/>
        </w:rPr>
      </w:pPr>
    </w:p>
    <w:p w:rsidR="00D05D85" w:rsidRDefault="00943E8E" w:rsidP="00D05D85">
      <w:pPr>
        <w:spacing w:line="360" w:lineRule="auto"/>
        <w:ind w:right="-91" w:firstLine="709"/>
        <w:jc w:val="both"/>
        <w:rPr>
          <w:rFonts w:ascii="Bookman Old Style" w:hAnsi="Bookman Old Style" w:cs="Bookman Old Style"/>
          <w:sz w:val="28"/>
          <w:szCs w:val="28"/>
          <w:lang w:val="es-CO"/>
        </w:rPr>
      </w:pPr>
      <w:r>
        <w:rPr>
          <w:rFonts w:ascii="Bookman Old Style" w:hAnsi="Bookman Old Style"/>
          <w:bCs/>
          <w:sz w:val="28"/>
          <w:szCs w:val="28"/>
        </w:rPr>
        <w:t xml:space="preserve">1. </w:t>
      </w:r>
      <w:r>
        <w:rPr>
          <w:rFonts w:ascii="Bookman Old Style" w:hAnsi="Bookman Old Style"/>
          <w:bCs/>
          <w:sz w:val="28"/>
          <w:szCs w:val="28"/>
        </w:rPr>
        <w:tab/>
      </w:r>
      <w:r w:rsidR="00D05D85">
        <w:rPr>
          <w:rFonts w:ascii="Bookman Old Style" w:hAnsi="Bookman Old Style" w:cs="Bookman Old Style"/>
          <w:sz w:val="28"/>
          <w:szCs w:val="28"/>
          <w:lang w:val="es-CO"/>
        </w:rPr>
        <w:t>Acorde con lo dispuesto en el numeral 3º del artículo 32 de la Ley 906 de 2004, esta Sala es competente para conocer de este asunto, por tratarse del recurso de apelación interpuesto contra un auto proferido en primera instancia por un Tribunal Superior.</w:t>
      </w:r>
    </w:p>
    <w:p w:rsidR="008C5D7D" w:rsidRDefault="008C5D7D" w:rsidP="00D05D85">
      <w:pPr>
        <w:spacing w:line="360" w:lineRule="auto"/>
        <w:ind w:right="-91" w:firstLine="709"/>
        <w:jc w:val="both"/>
        <w:rPr>
          <w:rFonts w:ascii="Bookman Old Style" w:hAnsi="Bookman Old Style" w:cs="Bookman Old Style"/>
          <w:sz w:val="28"/>
          <w:szCs w:val="28"/>
          <w:lang w:val="es-CO"/>
        </w:rPr>
      </w:pPr>
    </w:p>
    <w:p w:rsidR="008C5D7D" w:rsidRDefault="008C5D7D" w:rsidP="00D05D85">
      <w:pPr>
        <w:spacing w:line="360" w:lineRule="auto"/>
        <w:ind w:right="-91" w:firstLine="709"/>
        <w:jc w:val="both"/>
        <w:rPr>
          <w:rFonts w:ascii="Bookman Old Style" w:hAnsi="Bookman Old Style" w:cs="Bookman Old Style"/>
          <w:sz w:val="28"/>
          <w:szCs w:val="28"/>
          <w:lang w:val="es-CO"/>
        </w:rPr>
      </w:pPr>
      <w:r>
        <w:rPr>
          <w:rFonts w:ascii="Bookman Old Style" w:hAnsi="Bookman Old Style" w:cs="Bookman Old Style"/>
          <w:sz w:val="28"/>
          <w:szCs w:val="28"/>
          <w:lang w:val="es-CO"/>
        </w:rPr>
        <w:t xml:space="preserve">2. </w:t>
      </w:r>
      <w:r w:rsidR="00BD5685">
        <w:rPr>
          <w:rFonts w:ascii="Bookman Old Style" w:hAnsi="Bookman Old Style" w:cs="Bookman Old Style"/>
          <w:sz w:val="28"/>
          <w:szCs w:val="28"/>
          <w:lang w:val="es-CO"/>
        </w:rPr>
        <w:tab/>
        <w:t>La decisión adoptada por la Sala de Decisión Penal del Tribunal Superior de Montería será confirmada por las razones que se pasan a explicar.</w:t>
      </w:r>
    </w:p>
    <w:p w:rsidR="00BD5685" w:rsidRDefault="00BD5685" w:rsidP="00D05D85">
      <w:pPr>
        <w:spacing w:line="360" w:lineRule="auto"/>
        <w:ind w:right="-91" w:firstLine="709"/>
        <w:jc w:val="both"/>
        <w:rPr>
          <w:rFonts w:ascii="Bookman Old Style" w:hAnsi="Bookman Old Style" w:cs="Bookman Old Style"/>
          <w:sz w:val="28"/>
          <w:szCs w:val="28"/>
          <w:lang w:val="es-CO"/>
        </w:rPr>
      </w:pPr>
    </w:p>
    <w:p w:rsidR="00BD5685" w:rsidRDefault="00BD5685" w:rsidP="00D05D85">
      <w:pPr>
        <w:spacing w:line="360" w:lineRule="auto"/>
        <w:ind w:right="-91" w:firstLine="709"/>
        <w:jc w:val="both"/>
        <w:rPr>
          <w:rFonts w:ascii="Bookman Old Style" w:hAnsi="Bookman Old Style" w:cs="Bookman Old Style"/>
          <w:sz w:val="28"/>
          <w:szCs w:val="28"/>
          <w:lang w:val="es-CO"/>
        </w:rPr>
      </w:pPr>
      <w:r>
        <w:rPr>
          <w:rFonts w:ascii="Bookman Old Style" w:hAnsi="Bookman Old Style" w:cs="Bookman Old Style"/>
          <w:sz w:val="28"/>
          <w:szCs w:val="28"/>
          <w:lang w:val="es-CO"/>
        </w:rPr>
        <w:t xml:space="preserve">Es cierto que </w:t>
      </w:r>
      <w:r w:rsidR="00AE4E67">
        <w:rPr>
          <w:rFonts w:ascii="Bookman Old Style" w:hAnsi="Bookman Old Style" w:cs="Bookman Old Style"/>
          <w:sz w:val="28"/>
          <w:szCs w:val="28"/>
          <w:lang w:val="es-CO"/>
        </w:rPr>
        <w:t xml:space="preserve">el criterio </w:t>
      </w:r>
      <w:r>
        <w:rPr>
          <w:rFonts w:ascii="Bookman Old Style" w:hAnsi="Bookman Old Style" w:cs="Bookman Old Style"/>
          <w:sz w:val="28"/>
          <w:szCs w:val="28"/>
          <w:lang w:val="es-CO"/>
        </w:rPr>
        <w:t xml:space="preserve">de la Sala en torno a la impugnabilidad del auto que ordena la práctica de pruebas </w:t>
      </w:r>
      <w:r>
        <w:rPr>
          <w:rFonts w:ascii="Bookman Old Style" w:hAnsi="Bookman Old Style" w:cs="Bookman Old Style"/>
          <w:sz w:val="28"/>
          <w:szCs w:val="28"/>
          <w:lang w:val="es-CO"/>
        </w:rPr>
        <w:lastRenderedPageBreak/>
        <w:t>no ha sido pacífica</w:t>
      </w:r>
      <w:r w:rsidR="00452341">
        <w:rPr>
          <w:rFonts w:ascii="Bookman Old Style" w:hAnsi="Bookman Old Style" w:cs="Bookman Old Style"/>
          <w:sz w:val="28"/>
          <w:szCs w:val="28"/>
          <w:lang w:val="es-CO"/>
        </w:rPr>
        <w:t>, pues de ello dan fe las diversas posiciones jurisprudenciales asumidas por esta Corporación desde la</w:t>
      </w:r>
      <w:r>
        <w:rPr>
          <w:rFonts w:ascii="Bookman Old Style" w:hAnsi="Bookman Old Style" w:cs="Bookman Old Style"/>
          <w:sz w:val="28"/>
          <w:szCs w:val="28"/>
          <w:lang w:val="es-CO"/>
        </w:rPr>
        <w:t xml:space="preserve"> </w:t>
      </w:r>
      <w:r w:rsidR="00452341">
        <w:rPr>
          <w:rFonts w:ascii="Bookman Old Style" w:hAnsi="Bookman Old Style" w:cs="Bookman Old Style"/>
          <w:sz w:val="28"/>
          <w:szCs w:val="28"/>
          <w:lang w:val="es-CO"/>
        </w:rPr>
        <w:t>entrada en vigencia de la Ley 906 de 2004.</w:t>
      </w:r>
    </w:p>
    <w:p w:rsidR="00452341" w:rsidRDefault="00452341" w:rsidP="00D05D85">
      <w:pPr>
        <w:spacing w:line="360" w:lineRule="auto"/>
        <w:ind w:right="-91" w:firstLine="709"/>
        <w:jc w:val="both"/>
        <w:rPr>
          <w:rFonts w:ascii="Bookman Old Style" w:hAnsi="Bookman Old Style" w:cs="Bookman Old Style"/>
          <w:sz w:val="28"/>
          <w:szCs w:val="28"/>
          <w:lang w:val="es-CO"/>
        </w:rPr>
      </w:pPr>
    </w:p>
    <w:p w:rsidR="00452341" w:rsidRDefault="00452341" w:rsidP="00D05D85">
      <w:pPr>
        <w:spacing w:line="360" w:lineRule="auto"/>
        <w:ind w:right="-91" w:firstLine="709"/>
        <w:jc w:val="both"/>
        <w:rPr>
          <w:rFonts w:ascii="Bookman Old Style" w:hAnsi="Bookman Old Style" w:cs="Bookman Old Style"/>
          <w:sz w:val="28"/>
          <w:szCs w:val="28"/>
          <w:lang w:val="es-CO"/>
        </w:rPr>
      </w:pPr>
      <w:r>
        <w:rPr>
          <w:rFonts w:ascii="Bookman Old Style" w:hAnsi="Bookman Old Style" w:cs="Bookman Old Style"/>
          <w:sz w:val="28"/>
          <w:szCs w:val="28"/>
          <w:lang w:val="es-CO"/>
        </w:rPr>
        <w:t>Así, la</w:t>
      </w:r>
      <w:r w:rsidR="005D6F38">
        <w:rPr>
          <w:rFonts w:ascii="Bookman Old Style" w:hAnsi="Bookman Old Style" w:cs="Bookman Old Style"/>
          <w:sz w:val="28"/>
          <w:szCs w:val="28"/>
          <w:lang w:val="es-CO"/>
        </w:rPr>
        <w:t xml:space="preserve"> discusión ha gravitado entre dos</w:t>
      </w:r>
      <w:r>
        <w:rPr>
          <w:rFonts w:ascii="Bookman Old Style" w:hAnsi="Bookman Old Style" w:cs="Bookman Old Style"/>
          <w:sz w:val="28"/>
          <w:szCs w:val="28"/>
          <w:lang w:val="es-CO"/>
        </w:rPr>
        <w:t xml:space="preserve"> tesis</w:t>
      </w:r>
      <w:r w:rsidR="005D6F38">
        <w:rPr>
          <w:rFonts w:ascii="Bookman Old Style" w:hAnsi="Bookman Old Style" w:cs="Bookman Old Style"/>
          <w:sz w:val="28"/>
          <w:szCs w:val="28"/>
          <w:lang w:val="es-CO"/>
        </w:rPr>
        <w:t xml:space="preserve">: por un lado, aquella según la cual </w:t>
      </w:r>
      <w:r>
        <w:rPr>
          <w:rFonts w:ascii="Bookman Old Style" w:hAnsi="Bookman Old Style" w:cs="Bookman Old Style"/>
          <w:sz w:val="28"/>
          <w:szCs w:val="28"/>
          <w:lang w:val="es-CO"/>
        </w:rPr>
        <w:t xml:space="preserve">el auto que acepta la práctica de pruebas no </w:t>
      </w:r>
      <w:r w:rsidR="005E033A">
        <w:rPr>
          <w:rFonts w:ascii="Bookman Old Style" w:hAnsi="Bookman Old Style" w:cs="Bookman Old Style"/>
          <w:sz w:val="28"/>
          <w:szCs w:val="28"/>
          <w:lang w:val="es-CO"/>
        </w:rPr>
        <w:t>es pasible d</w:t>
      </w:r>
      <w:r w:rsidR="005D6F38">
        <w:rPr>
          <w:rFonts w:ascii="Bookman Old Style" w:hAnsi="Bookman Old Style" w:cs="Bookman Old Style"/>
          <w:sz w:val="28"/>
          <w:szCs w:val="28"/>
          <w:lang w:val="es-CO"/>
        </w:rPr>
        <w:t xml:space="preserve">el recurso de apelación, y la </w:t>
      </w:r>
      <w:r>
        <w:rPr>
          <w:rFonts w:ascii="Bookman Old Style" w:hAnsi="Bookman Old Style" w:cs="Bookman Old Style"/>
          <w:sz w:val="28"/>
          <w:szCs w:val="28"/>
          <w:lang w:val="es-CO"/>
        </w:rPr>
        <w:t xml:space="preserve">posición contraria, esto es, que el recurso de apelación procede no solo contra decisiones que niegan la práctica de la prueba </w:t>
      </w:r>
      <w:r w:rsidR="005D6F38">
        <w:rPr>
          <w:rFonts w:ascii="Bookman Old Style" w:hAnsi="Bookman Old Style" w:cs="Bookman Old Style"/>
          <w:sz w:val="28"/>
          <w:szCs w:val="28"/>
          <w:lang w:val="es-CO"/>
        </w:rPr>
        <w:t>(</w:t>
      </w:r>
      <w:r>
        <w:rPr>
          <w:rFonts w:ascii="Bookman Old Style" w:hAnsi="Bookman Old Style" w:cs="Bookman Old Style"/>
          <w:sz w:val="28"/>
          <w:szCs w:val="28"/>
          <w:lang w:val="es-CO"/>
        </w:rPr>
        <w:t>exclusión, inadmisión o rechazo</w:t>
      </w:r>
      <w:r w:rsidR="005D6F38">
        <w:rPr>
          <w:rFonts w:ascii="Bookman Old Style" w:hAnsi="Bookman Old Style" w:cs="Bookman Old Style"/>
          <w:sz w:val="28"/>
          <w:szCs w:val="28"/>
          <w:lang w:val="es-CO"/>
        </w:rPr>
        <w:t>)</w:t>
      </w:r>
      <w:r>
        <w:rPr>
          <w:rFonts w:ascii="Bookman Old Style" w:hAnsi="Bookman Old Style" w:cs="Bookman Old Style"/>
          <w:sz w:val="28"/>
          <w:szCs w:val="28"/>
          <w:lang w:val="es-CO"/>
        </w:rPr>
        <w:t>, sino contra las que ordenan su aducción, admisión o aceptación.</w:t>
      </w:r>
    </w:p>
    <w:p w:rsidR="00FE3039" w:rsidRDefault="00FE3039" w:rsidP="00D05D85">
      <w:pPr>
        <w:spacing w:line="360" w:lineRule="auto"/>
        <w:ind w:right="-91" w:firstLine="709"/>
        <w:jc w:val="both"/>
        <w:rPr>
          <w:rFonts w:ascii="Bookman Old Style" w:hAnsi="Bookman Old Style" w:cs="Bookman Old Style"/>
          <w:sz w:val="28"/>
          <w:szCs w:val="28"/>
          <w:lang w:val="es-CO"/>
        </w:rPr>
      </w:pPr>
    </w:p>
    <w:p w:rsidR="00890134" w:rsidRDefault="003E7F69" w:rsidP="00D05D85">
      <w:pPr>
        <w:spacing w:line="360" w:lineRule="auto"/>
        <w:ind w:right="-91" w:firstLine="709"/>
        <w:jc w:val="both"/>
        <w:rPr>
          <w:rFonts w:ascii="Bookman Old Style" w:hAnsi="Bookman Old Style" w:cs="Bookman Old Style"/>
          <w:sz w:val="28"/>
          <w:szCs w:val="28"/>
          <w:lang w:val="es-CO"/>
        </w:rPr>
      </w:pPr>
      <w:r>
        <w:rPr>
          <w:rFonts w:ascii="Bookman Old Style" w:hAnsi="Bookman Old Style" w:cs="Bookman Old Style"/>
          <w:sz w:val="28"/>
          <w:szCs w:val="28"/>
          <w:lang w:val="es-CO"/>
        </w:rPr>
        <w:t>Acorde con el criterio actualmente imperante</w:t>
      </w:r>
      <w:r w:rsidR="00FB6CBE">
        <w:rPr>
          <w:rFonts w:ascii="Bookman Old Style" w:hAnsi="Bookman Old Style" w:cs="Bookman Old Style"/>
          <w:sz w:val="28"/>
          <w:szCs w:val="28"/>
          <w:lang w:val="es-CO"/>
        </w:rPr>
        <w:t xml:space="preserve"> </w:t>
      </w:r>
      <w:r w:rsidR="002B6295">
        <w:rPr>
          <w:rFonts w:ascii="Bookman Old Style" w:hAnsi="Bookman Old Style" w:cs="Bookman Old Style"/>
          <w:sz w:val="28"/>
          <w:szCs w:val="28"/>
          <w:lang w:val="es-CO"/>
        </w:rPr>
        <w:t>(</w:t>
      </w:r>
      <w:r w:rsidR="00FE3039">
        <w:rPr>
          <w:rFonts w:ascii="Bookman Old Style" w:hAnsi="Bookman Old Style" w:cs="Bookman Old Style"/>
          <w:sz w:val="28"/>
          <w:szCs w:val="28"/>
          <w:lang w:val="es-CO"/>
        </w:rPr>
        <w:t>AP4812-2016, Rad. 47469</w:t>
      </w:r>
      <w:r w:rsidR="002B6295">
        <w:rPr>
          <w:rFonts w:ascii="Bookman Old Style" w:hAnsi="Bookman Old Style" w:cs="Bookman Old Style"/>
          <w:sz w:val="28"/>
          <w:szCs w:val="28"/>
          <w:lang w:val="es-CO"/>
        </w:rPr>
        <w:t>)</w:t>
      </w:r>
      <w:r w:rsidR="00FE3039">
        <w:rPr>
          <w:rFonts w:ascii="Bookman Old Style" w:hAnsi="Bookman Old Style" w:cs="Bookman Old Style"/>
          <w:sz w:val="28"/>
          <w:szCs w:val="28"/>
          <w:lang w:val="es-CO"/>
        </w:rPr>
        <w:t xml:space="preserve">, </w:t>
      </w:r>
      <w:r>
        <w:rPr>
          <w:rFonts w:ascii="Bookman Old Style" w:hAnsi="Bookman Old Style" w:cs="Bookman Old Style"/>
          <w:sz w:val="28"/>
          <w:szCs w:val="28"/>
          <w:lang w:val="es-CO"/>
        </w:rPr>
        <w:t xml:space="preserve">por virtud del principio de reserva legal la facultad de establecer los recursos disponibles, su procedencia respecto de determinada decisión y los presupuestos de oportunidad </w:t>
      </w:r>
      <w:r w:rsidR="005E033A">
        <w:rPr>
          <w:rFonts w:ascii="Bookman Old Style" w:hAnsi="Bookman Old Style" w:cs="Bookman Old Style"/>
          <w:sz w:val="28"/>
          <w:szCs w:val="28"/>
          <w:lang w:val="es-CO"/>
        </w:rPr>
        <w:t>para su ejercicio</w:t>
      </w:r>
      <w:r>
        <w:rPr>
          <w:rFonts w:ascii="Bookman Old Style" w:hAnsi="Bookman Old Style" w:cs="Bookman Old Style"/>
          <w:sz w:val="28"/>
          <w:szCs w:val="28"/>
          <w:lang w:val="es-CO"/>
        </w:rPr>
        <w:t xml:space="preserve"> competen exclusivamente al legislador</w:t>
      </w:r>
      <w:r w:rsidR="00606952">
        <w:rPr>
          <w:rFonts w:ascii="Bookman Old Style" w:hAnsi="Bookman Old Style" w:cs="Bookman Old Style"/>
          <w:sz w:val="28"/>
          <w:szCs w:val="28"/>
          <w:lang w:val="es-CO"/>
        </w:rPr>
        <w:t>. De allí que, atendiendo el tenor literal de</w:t>
      </w:r>
      <w:r w:rsidR="002B6295">
        <w:rPr>
          <w:rFonts w:ascii="Bookman Old Style" w:hAnsi="Bookman Old Style" w:cs="Bookman Old Style"/>
          <w:sz w:val="28"/>
          <w:szCs w:val="28"/>
          <w:lang w:val="es-CO"/>
        </w:rPr>
        <w:t xml:space="preserve"> </w:t>
      </w:r>
      <w:r w:rsidR="00606952">
        <w:rPr>
          <w:rFonts w:ascii="Bookman Old Style" w:hAnsi="Bookman Old Style" w:cs="Bookman Old Style"/>
          <w:sz w:val="28"/>
          <w:szCs w:val="28"/>
          <w:lang w:val="es-CO"/>
        </w:rPr>
        <w:t>l</w:t>
      </w:r>
      <w:r w:rsidR="002B6295">
        <w:rPr>
          <w:rFonts w:ascii="Bookman Old Style" w:hAnsi="Bookman Old Style" w:cs="Bookman Old Style"/>
          <w:sz w:val="28"/>
          <w:szCs w:val="28"/>
          <w:lang w:val="es-CO"/>
        </w:rPr>
        <w:t>os</w:t>
      </w:r>
      <w:r w:rsidR="00606952">
        <w:rPr>
          <w:rFonts w:ascii="Bookman Old Style" w:hAnsi="Bookman Old Style" w:cs="Bookman Old Style"/>
          <w:sz w:val="28"/>
          <w:szCs w:val="28"/>
          <w:lang w:val="es-CO"/>
        </w:rPr>
        <w:t xml:space="preserve"> artículo</w:t>
      </w:r>
      <w:r w:rsidR="002B6295">
        <w:rPr>
          <w:rFonts w:ascii="Bookman Old Style" w:hAnsi="Bookman Old Style" w:cs="Bookman Old Style"/>
          <w:sz w:val="28"/>
          <w:szCs w:val="28"/>
          <w:lang w:val="es-CO"/>
        </w:rPr>
        <w:t>s</w:t>
      </w:r>
      <w:r w:rsidR="00606952">
        <w:rPr>
          <w:rFonts w:ascii="Bookman Old Style" w:hAnsi="Bookman Old Style" w:cs="Bookman Old Style"/>
          <w:sz w:val="28"/>
          <w:szCs w:val="28"/>
          <w:lang w:val="es-CO"/>
        </w:rPr>
        <w:t xml:space="preserve"> 20 y </w:t>
      </w:r>
      <w:r w:rsidR="002B6295">
        <w:rPr>
          <w:rFonts w:ascii="Bookman Old Style" w:hAnsi="Bookman Old Style" w:cs="Bookman Old Style"/>
          <w:sz w:val="28"/>
          <w:szCs w:val="28"/>
          <w:lang w:val="es-CO"/>
        </w:rPr>
        <w:t xml:space="preserve">359 </w:t>
      </w:r>
      <w:r w:rsidR="00606952">
        <w:rPr>
          <w:rFonts w:ascii="Bookman Old Style" w:hAnsi="Bookman Old Style" w:cs="Bookman Old Style"/>
          <w:sz w:val="28"/>
          <w:szCs w:val="28"/>
          <w:lang w:val="es-CO"/>
        </w:rPr>
        <w:t xml:space="preserve">de la Ley 906 de 2004, </w:t>
      </w:r>
      <w:r w:rsidR="002B6295">
        <w:rPr>
          <w:rFonts w:ascii="Bookman Old Style" w:hAnsi="Bookman Old Style" w:cs="Bookman Old Style"/>
          <w:sz w:val="28"/>
          <w:szCs w:val="28"/>
          <w:lang w:val="es-CO"/>
        </w:rPr>
        <w:t xml:space="preserve">se advierte que en materia de pruebas, </w:t>
      </w:r>
      <w:r w:rsidR="00606952">
        <w:rPr>
          <w:rFonts w:ascii="Bookman Old Style" w:hAnsi="Bookman Old Style" w:cs="Bookman Old Style"/>
          <w:sz w:val="28"/>
          <w:szCs w:val="28"/>
          <w:lang w:val="es-CO"/>
        </w:rPr>
        <w:t xml:space="preserve">la intención expresa del legislador </w:t>
      </w:r>
      <w:r w:rsidR="002B6295">
        <w:rPr>
          <w:rFonts w:ascii="Bookman Old Style" w:hAnsi="Bookman Old Style" w:cs="Bookman Old Style"/>
          <w:sz w:val="28"/>
          <w:szCs w:val="28"/>
          <w:lang w:val="es-CO"/>
        </w:rPr>
        <w:t>es que el recurso de apelación solo proceda contra las providencias que impiden la efectiva práctica o incorporación del medio de convicción</w:t>
      </w:r>
      <w:r w:rsidR="00890134">
        <w:rPr>
          <w:rFonts w:ascii="Bookman Old Style" w:hAnsi="Bookman Old Style" w:cs="Bookman Old Style"/>
          <w:sz w:val="28"/>
          <w:szCs w:val="28"/>
          <w:lang w:val="es-CO"/>
        </w:rPr>
        <w:t>.</w:t>
      </w:r>
    </w:p>
    <w:p w:rsidR="00890134" w:rsidRDefault="00890134" w:rsidP="00D05D85">
      <w:pPr>
        <w:spacing w:line="360" w:lineRule="auto"/>
        <w:ind w:right="-91" w:firstLine="709"/>
        <w:jc w:val="both"/>
        <w:rPr>
          <w:rFonts w:ascii="Bookman Old Style" w:hAnsi="Bookman Old Style" w:cs="Bookman Old Style"/>
          <w:sz w:val="28"/>
          <w:szCs w:val="28"/>
          <w:lang w:val="es-CO"/>
        </w:rPr>
      </w:pPr>
    </w:p>
    <w:p w:rsidR="00CD5782" w:rsidRDefault="00890134" w:rsidP="00D05D85">
      <w:pPr>
        <w:spacing w:line="360" w:lineRule="auto"/>
        <w:ind w:right="-91" w:firstLine="709"/>
        <w:jc w:val="both"/>
        <w:rPr>
          <w:rFonts w:ascii="Bookman Old Style" w:hAnsi="Bookman Old Style" w:cs="Bookman Old Style"/>
          <w:sz w:val="28"/>
          <w:szCs w:val="28"/>
          <w:lang w:val="es-CO"/>
        </w:rPr>
      </w:pPr>
      <w:r>
        <w:rPr>
          <w:rFonts w:ascii="Bookman Old Style" w:hAnsi="Bookman Old Style" w:cs="Bookman Old Style"/>
          <w:sz w:val="28"/>
          <w:szCs w:val="28"/>
          <w:lang w:val="es-CO"/>
        </w:rPr>
        <w:t>Tal</w:t>
      </w:r>
      <w:r w:rsidR="002B6295">
        <w:rPr>
          <w:rFonts w:ascii="Bookman Old Style" w:hAnsi="Bookman Old Style" w:cs="Bookman Old Style"/>
          <w:sz w:val="28"/>
          <w:szCs w:val="28"/>
          <w:lang w:val="es-CO"/>
        </w:rPr>
        <w:t xml:space="preserve"> argumento</w:t>
      </w:r>
      <w:r>
        <w:rPr>
          <w:rFonts w:ascii="Bookman Old Style" w:hAnsi="Bookman Old Style" w:cs="Bookman Old Style"/>
          <w:sz w:val="28"/>
          <w:szCs w:val="28"/>
          <w:lang w:val="es-CO"/>
        </w:rPr>
        <w:t>,</w:t>
      </w:r>
      <w:r w:rsidR="002B6295">
        <w:rPr>
          <w:rFonts w:ascii="Bookman Old Style" w:hAnsi="Bookman Old Style" w:cs="Bookman Old Style"/>
          <w:sz w:val="28"/>
          <w:szCs w:val="28"/>
          <w:lang w:val="es-CO"/>
        </w:rPr>
        <w:t xml:space="preserve"> reforzado por la distinción que</w:t>
      </w:r>
      <w:r w:rsidR="005E033A">
        <w:rPr>
          <w:rFonts w:ascii="Bookman Old Style" w:hAnsi="Bookman Old Style" w:cs="Bookman Old Style"/>
          <w:sz w:val="28"/>
          <w:szCs w:val="28"/>
          <w:lang w:val="es-CO"/>
        </w:rPr>
        <w:t xml:space="preserve"> </w:t>
      </w:r>
      <w:r w:rsidR="002B6295">
        <w:rPr>
          <w:rFonts w:ascii="Bookman Old Style" w:hAnsi="Bookman Old Style" w:cs="Bookman Old Style"/>
          <w:sz w:val="28"/>
          <w:szCs w:val="28"/>
          <w:lang w:val="es-CO"/>
        </w:rPr>
        <w:t xml:space="preserve">se consigna en los numerales 4 y 5 del artículo 177 </w:t>
      </w:r>
      <w:r w:rsidR="002B6295" w:rsidRPr="002B6295">
        <w:rPr>
          <w:rFonts w:ascii="Bookman Old Style" w:hAnsi="Bookman Old Style" w:cs="Bookman Old Style"/>
          <w:i/>
          <w:sz w:val="28"/>
          <w:szCs w:val="28"/>
          <w:lang w:val="es-CO"/>
        </w:rPr>
        <w:t>Ib.</w:t>
      </w:r>
      <w:r w:rsidR="00B220F0">
        <w:rPr>
          <w:rFonts w:ascii="Bookman Old Style" w:hAnsi="Bookman Old Style" w:cs="Bookman Old Style"/>
          <w:i/>
          <w:sz w:val="28"/>
          <w:szCs w:val="28"/>
          <w:lang w:val="es-CO"/>
        </w:rPr>
        <w:t>,</w:t>
      </w:r>
      <w:r w:rsidR="002B6295">
        <w:rPr>
          <w:rFonts w:ascii="Bookman Old Style" w:hAnsi="Bookman Old Style" w:cs="Bookman Old Style"/>
          <w:sz w:val="28"/>
          <w:szCs w:val="28"/>
          <w:lang w:val="es-CO"/>
        </w:rPr>
        <w:t xml:space="preserve"> respecto de</w:t>
      </w:r>
      <w:r>
        <w:rPr>
          <w:rFonts w:ascii="Bookman Old Style" w:hAnsi="Bookman Old Style" w:cs="Bookman Old Style"/>
          <w:sz w:val="28"/>
          <w:szCs w:val="28"/>
          <w:lang w:val="es-CO"/>
        </w:rPr>
        <w:t>l efecto en que ha de concederse el recurso vertical</w:t>
      </w:r>
      <w:r w:rsidR="005E033A">
        <w:rPr>
          <w:rFonts w:ascii="Bookman Old Style" w:hAnsi="Bookman Old Style" w:cs="Bookman Old Style"/>
          <w:sz w:val="28"/>
          <w:szCs w:val="28"/>
          <w:lang w:val="es-CO"/>
        </w:rPr>
        <w:t xml:space="preserve"> cuando se intenta</w:t>
      </w:r>
      <w:r>
        <w:rPr>
          <w:rFonts w:ascii="Bookman Old Style" w:hAnsi="Bookman Old Style" w:cs="Bookman Old Style"/>
          <w:sz w:val="28"/>
          <w:szCs w:val="28"/>
          <w:lang w:val="es-CO"/>
        </w:rPr>
        <w:t xml:space="preserve"> contra el auto que </w:t>
      </w:r>
      <w:r w:rsidRPr="00890134">
        <w:rPr>
          <w:rFonts w:ascii="Bookman Old Style" w:hAnsi="Bookman Old Style" w:cs="Bookman Old Style"/>
          <w:i/>
          <w:sz w:val="28"/>
          <w:szCs w:val="28"/>
          <w:lang w:val="es-CO"/>
        </w:rPr>
        <w:t>niega la práctica de prueba</w:t>
      </w:r>
      <w:r>
        <w:rPr>
          <w:rFonts w:ascii="Bookman Old Style" w:hAnsi="Bookman Old Style" w:cs="Bookman Old Style"/>
          <w:sz w:val="28"/>
          <w:szCs w:val="28"/>
          <w:lang w:val="es-CO"/>
        </w:rPr>
        <w:t xml:space="preserve"> o contra el que </w:t>
      </w:r>
      <w:r w:rsidRPr="00890134">
        <w:rPr>
          <w:rFonts w:ascii="Bookman Old Style" w:hAnsi="Bookman Old Style" w:cs="Bookman Old Style"/>
          <w:i/>
          <w:sz w:val="28"/>
          <w:szCs w:val="28"/>
          <w:lang w:val="es-CO"/>
        </w:rPr>
        <w:t>decide sobre la exclusión</w:t>
      </w:r>
      <w:r>
        <w:rPr>
          <w:rFonts w:ascii="Bookman Old Style" w:hAnsi="Bookman Old Style" w:cs="Bookman Old Style"/>
          <w:sz w:val="28"/>
          <w:szCs w:val="28"/>
          <w:lang w:val="es-CO"/>
        </w:rPr>
        <w:t xml:space="preserve"> de una prueba del juicio oral</w:t>
      </w:r>
      <w:r w:rsidR="005E033A">
        <w:rPr>
          <w:rFonts w:ascii="Bookman Old Style" w:hAnsi="Bookman Old Style" w:cs="Bookman Old Style"/>
          <w:sz w:val="28"/>
          <w:szCs w:val="28"/>
          <w:lang w:val="es-CO"/>
        </w:rPr>
        <w:t>,</w:t>
      </w:r>
      <w:r>
        <w:rPr>
          <w:rFonts w:ascii="Bookman Old Style" w:hAnsi="Bookman Old Style" w:cs="Bookman Old Style"/>
          <w:sz w:val="28"/>
          <w:szCs w:val="28"/>
          <w:lang w:val="es-CO"/>
        </w:rPr>
        <w:t xml:space="preserve"> diferenciación que solo cobra </w:t>
      </w:r>
      <w:r>
        <w:rPr>
          <w:rFonts w:ascii="Bookman Old Style" w:hAnsi="Bookman Old Style" w:cs="Bookman Old Style"/>
          <w:sz w:val="28"/>
          <w:szCs w:val="28"/>
          <w:lang w:val="es-CO"/>
        </w:rPr>
        <w:lastRenderedPageBreak/>
        <w:t>sentido si se entiende</w:t>
      </w:r>
      <w:r w:rsidR="00CD5782">
        <w:rPr>
          <w:rFonts w:ascii="Bookman Old Style" w:hAnsi="Bookman Old Style" w:cs="Bookman Old Style"/>
          <w:sz w:val="28"/>
          <w:szCs w:val="28"/>
          <w:lang w:val="es-CO"/>
        </w:rPr>
        <w:t xml:space="preserve"> </w:t>
      </w:r>
      <w:r>
        <w:rPr>
          <w:rFonts w:ascii="Bookman Old Style" w:hAnsi="Bookman Old Style" w:cs="Bookman Old Style"/>
          <w:sz w:val="28"/>
          <w:szCs w:val="28"/>
          <w:lang w:val="es-CO"/>
        </w:rPr>
        <w:t xml:space="preserve">que </w:t>
      </w:r>
      <w:r w:rsidR="00CD5782">
        <w:rPr>
          <w:rFonts w:ascii="Bookman Old Style" w:hAnsi="Bookman Old Style" w:cs="Bookman Old Style"/>
          <w:sz w:val="28"/>
          <w:szCs w:val="28"/>
          <w:lang w:val="es-CO"/>
        </w:rPr>
        <w:t>en ejercicio de la libertad de configuración, el legisla</w:t>
      </w:r>
      <w:r w:rsidR="00B220F0">
        <w:rPr>
          <w:rFonts w:ascii="Bookman Old Style" w:hAnsi="Bookman Old Style" w:cs="Bookman Old Style"/>
          <w:sz w:val="28"/>
          <w:szCs w:val="28"/>
          <w:lang w:val="es-CO"/>
        </w:rPr>
        <w:t>dor sólo previó la alzada como medio de impugnación del auto que impide la práctica de la prueba mediante su inadmisión o rechazo</w:t>
      </w:r>
      <w:r w:rsidR="00E0420B">
        <w:rPr>
          <w:rFonts w:ascii="Bookman Old Style" w:hAnsi="Bookman Old Style" w:cs="Bookman Old Style"/>
          <w:sz w:val="28"/>
          <w:szCs w:val="28"/>
          <w:lang w:val="es-CO"/>
        </w:rPr>
        <w:t>, salvo cuando el elemento de convicción adolezca de ilicitud, caso en el cual procede con independencia de si la decisión excluye o acepta el medio de prueba</w:t>
      </w:r>
      <w:r w:rsidR="00B220F0">
        <w:rPr>
          <w:rFonts w:ascii="Bookman Old Style" w:hAnsi="Bookman Old Style" w:cs="Bookman Old Style"/>
          <w:sz w:val="28"/>
          <w:szCs w:val="28"/>
          <w:lang w:val="es-CO"/>
        </w:rPr>
        <w:t>.</w:t>
      </w:r>
      <w:r w:rsidR="00CD5782">
        <w:rPr>
          <w:rFonts w:ascii="Bookman Old Style" w:hAnsi="Bookman Old Style" w:cs="Bookman Old Style"/>
          <w:sz w:val="28"/>
          <w:szCs w:val="28"/>
          <w:lang w:val="es-CO"/>
        </w:rPr>
        <w:t xml:space="preserve"> </w:t>
      </w:r>
    </w:p>
    <w:p w:rsidR="00E0420B" w:rsidRDefault="00E0420B" w:rsidP="00D05D85">
      <w:pPr>
        <w:spacing w:line="360" w:lineRule="auto"/>
        <w:ind w:right="-91" w:firstLine="709"/>
        <w:jc w:val="both"/>
        <w:rPr>
          <w:rFonts w:ascii="Bookman Old Style" w:hAnsi="Bookman Old Style" w:cs="Bookman Old Style"/>
          <w:sz w:val="28"/>
          <w:szCs w:val="28"/>
          <w:lang w:val="es-CO"/>
        </w:rPr>
      </w:pPr>
    </w:p>
    <w:p w:rsidR="00E0420B" w:rsidRDefault="00E0420B" w:rsidP="00D05D85">
      <w:pPr>
        <w:spacing w:line="360" w:lineRule="auto"/>
        <w:ind w:right="-91" w:firstLine="709"/>
        <w:jc w:val="both"/>
        <w:rPr>
          <w:rFonts w:ascii="Bookman Old Style" w:hAnsi="Bookman Old Style" w:cs="Bookman Old Style"/>
          <w:sz w:val="28"/>
          <w:szCs w:val="28"/>
          <w:lang w:val="es-CO"/>
        </w:rPr>
      </w:pPr>
      <w:r>
        <w:rPr>
          <w:rFonts w:ascii="Bookman Old Style" w:hAnsi="Bookman Old Style" w:cs="Bookman Old Style"/>
          <w:sz w:val="28"/>
          <w:szCs w:val="28"/>
          <w:lang w:val="es-CO"/>
        </w:rPr>
        <w:t xml:space="preserve">No obstante lo anterior, </w:t>
      </w:r>
      <w:r w:rsidR="00890134">
        <w:rPr>
          <w:rFonts w:ascii="Bookman Old Style" w:hAnsi="Bookman Old Style" w:cs="Bookman Old Style"/>
          <w:sz w:val="28"/>
          <w:szCs w:val="28"/>
          <w:lang w:val="es-CO"/>
        </w:rPr>
        <w:t>no es posible otorg</w:t>
      </w:r>
      <w:r>
        <w:rPr>
          <w:rFonts w:ascii="Bookman Old Style" w:hAnsi="Bookman Old Style" w:cs="Bookman Old Style"/>
          <w:sz w:val="28"/>
          <w:szCs w:val="28"/>
          <w:lang w:val="es-CO"/>
        </w:rPr>
        <w:t xml:space="preserve">arle al citado </w:t>
      </w:r>
      <w:r w:rsidR="00890134">
        <w:rPr>
          <w:rFonts w:ascii="Bookman Old Style" w:hAnsi="Bookman Old Style" w:cs="Bookman Old Style"/>
          <w:sz w:val="28"/>
          <w:szCs w:val="28"/>
          <w:lang w:val="es-CO"/>
        </w:rPr>
        <w:t>precedente el alcance que pretende el Ministerio Público pues, emerge evidente, lo hasta aquí expuesto se refiere exclusivamente al recurso de alzada que no al de reposición, el cual, conforme al tenor literal del artículo 176 del estatuto procesal</w:t>
      </w:r>
      <w:r w:rsidR="005E033A">
        <w:rPr>
          <w:rFonts w:ascii="Bookman Old Style" w:hAnsi="Bookman Old Style" w:cs="Bookman Old Style"/>
          <w:sz w:val="28"/>
          <w:szCs w:val="28"/>
          <w:lang w:val="es-CO"/>
        </w:rPr>
        <w:t>,</w:t>
      </w:r>
      <w:r w:rsidR="00E73595">
        <w:rPr>
          <w:rFonts w:ascii="Bookman Old Style" w:hAnsi="Bookman Old Style" w:cs="Bookman Old Style"/>
          <w:sz w:val="28"/>
          <w:szCs w:val="28"/>
          <w:lang w:val="es-CO"/>
        </w:rPr>
        <w:t xml:space="preserve"> </w:t>
      </w:r>
      <w:r w:rsidR="00E73595" w:rsidRPr="00E73595">
        <w:rPr>
          <w:rFonts w:ascii="Bookman Old Style" w:hAnsi="Bookman Old Style" w:cs="Bookman Old Style"/>
          <w:i/>
          <w:sz w:val="28"/>
          <w:szCs w:val="28"/>
          <w:lang w:val="es-CO"/>
        </w:rPr>
        <w:t>procede contra todas las decisiones, salvo la sentencia</w:t>
      </w:r>
      <w:r w:rsidR="00E73595">
        <w:rPr>
          <w:rFonts w:ascii="Bookman Old Style" w:hAnsi="Bookman Old Style" w:cs="Bookman Old Style"/>
          <w:sz w:val="28"/>
          <w:szCs w:val="28"/>
          <w:lang w:val="es-CO"/>
        </w:rPr>
        <w:t>.</w:t>
      </w:r>
    </w:p>
    <w:p w:rsidR="00E73595" w:rsidRDefault="00E73595" w:rsidP="00D05D85">
      <w:pPr>
        <w:spacing w:line="360" w:lineRule="auto"/>
        <w:ind w:right="-91" w:firstLine="709"/>
        <w:jc w:val="both"/>
        <w:rPr>
          <w:rFonts w:ascii="Bookman Old Style" w:hAnsi="Bookman Old Style" w:cs="Bookman Old Style"/>
          <w:sz w:val="28"/>
          <w:szCs w:val="28"/>
          <w:lang w:val="es-CO"/>
        </w:rPr>
      </w:pPr>
    </w:p>
    <w:p w:rsidR="00E0420B" w:rsidRDefault="00E0420B" w:rsidP="00D05D85">
      <w:pPr>
        <w:spacing w:line="360" w:lineRule="auto"/>
        <w:ind w:right="-91" w:firstLine="709"/>
        <w:jc w:val="both"/>
        <w:rPr>
          <w:rFonts w:ascii="Bookman Old Style" w:hAnsi="Bookman Old Style" w:cs="Bookman Old Style"/>
          <w:sz w:val="28"/>
          <w:szCs w:val="28"/>
          <w:lang w:val="es-CO"/>
        </w:rPr>
      </w:pPr>
      <w:r>
        <w:rPr>
          <w:rFonts w:ascii="Bookman Old Style" w:hAnsi="Bookman Old Style" w:cs="Bookman Old Style"/>
          <w:sz w:val="28"/>
          <w:szCs w:val="28"/>
          <w:lang w:val="es-CO"/>
        </w:rPr>
        <w:t xml:space="preserve">Así las cosas, </w:t>
      </w:r>
      <w:r w:rsidR="006847C5">
        <w:rPr>
          <w:rFonts w:ascii="Bookman Old Style" w:hAnsi="Bookman Old Style" w:cs="Bookman Old Style"/>
          <w:sz w:val="28"/>
          <w:szCs w:val="28"/>
          <w:lang w:val="es-CO"/>
        </w:rPr>
        <w:t>acudiendo a los mismos argumentos expuestos en el precedente cuya aplicaci</w:t>
      </w:r>
      <w:r w:rsidR="00E73595">
        <w:rPr>
          <w:rFonts w:ascii="Bookman Old Style" w:hAnsi="Bookman Old Style" w:cs="Bookman Old Style"/>
          <w:sz w:val="28"/>
          <w:szCs w:val="28"/>
          <w:lang w:val="es-CO"/>
        </w:rPr>
        <w:t>ón reclama el impugnante y</w:t>
      </w:r>
      <w:r w:rsidR="006847C5">
        <w:rPr>
          <w:rFonts w:ascii="Bookman Old Style" w:hAnsi="Bookman Old Style" w:cs="Bookman Old Style"/>
          <w:sz w:val="28"/>
          <w:szCs w:val="28"/>
          <w:lang w:val="es-CO"/>
        </w:rPr>
        <w:t xml:space="preserve"> por volun</w:t>
      </w:r>
      <w:r w:rsidR="00E73595">
        <w:rPr>
          <w:rFonts w:ascii="Bookman Old Style" w:hAnsi="Bookman Old Style" w:cs="Bookman Old Style"/>
          <w:sz w:val="28"/>
          <w:szCs w:val="28"/>
          <w:lang w:val="es-CO"/>
        </w:rPr>
        <w:t>tad del legislador, contra el auto que decide sobre las solicitudes probatorias de las partes, bien ordenando su práctica o incorporación, bien desestimando la exclusión, rechazo o inadmisión invocada por la contraparte, resulta procedente el recurso de reposición, con independencia de que se proponga conjuntamente con el de apelación de manera subsidiaria.</w:t>
      </w:r>
    </w:p>
    <w:p w:rsidR="00E73595" w:rsidRDefault="00E73595" w:rsidP="00D05D85">
      <w:pPr>
        <w:spacing w:line="360" w:lineRule="auto"/>
        <w:ind w:right="-91" w:firstLine="709"/>
        <w:jc w:val="both"/>
        <w:rPr>
          <w:rFonts w:ascii="Bookman Old Style" w:hAnsi="Bookman Old Style" w:cs="Bookman Old Style"/>
          <w:sz w:val="28"/>
          <w:szCs w:val="28"/>
          <w:lang w:val="es-CO"/>
        </w:rPr>
      </w:pPr>
    </w:p>
    <w:p w:rsidR="00E73595" w:rsidRDefault="00E73595" w:rsidP="00D05D85">
      <w:pPr>
        <w:spacing w:line="360" w:lineRule="auto"/>
        <w:ind w:right="-91" w:firstLine="709"/>
        <w:jc w:val="both"/>
        <w:rPr>
          <w:rFonts w:ascii="Bookman Old Style" w:hAnsi="Bookman Old Style" w:cs="Bookman Old Style"/>
          <w:sz w:val="28"/>
          <w:szCs w:val="28"/>
          <w:lang w:val="es-CO"/>
        </w:rPr>
      </w:pPr>
      <w:r>
        <w:rPr>
          <w:rFonts w:ascii="Bookman Old Style" w:hAnsi="Bookman Old Style" w:cs="Bookman Old Style"/>
          <w:sz w:val="28"/>
          <w:szCs w:val="28"/>
          <w:lang w:val="es-CO"/>
        </w:rPr>
        <w:t xml:space="preserve">En este orden, en ninguna irregularidad incurrió el Tribunal de Montería al resolver el recurso de reposición intentado por la defensa contra el auto que admitió las postulaciones probatorias de la Fiscalía. </w:t>
      </w:r>
    </w:p>
    <w:p w:rsidR="00E73595" w:rsidRDefault="00E73595" w:rsidP="00D05D85">
      <w:pPr>
        <w:spacing w:line="360" w:lineRule="auto"/>
        <w:ind w:right="-91" w:firstLine="709"/>
        <w:jc w:val="both"/>
        <w:rPr>
          <w:rFonts w:ascii="Bookman Old Style" w:hAnsi="Bookman Old Style" w:cs="Bookman Old Style"/>
          <w:sz w:val="28"/>
          <w:szCs w:val="28"/>
          <w:lang w:val="es-CO"/>
        </w:rPr>
      </w:pPr>
    </w:p>
    <w:p w:rsidR="00F543E3" w:rsidRPr="00E73595" w:rsidRDefault="00E73595" w:rsidP="00E73595">
      <w:pPr>
        <w:spacing w:line="360" w:lineRule="auto"/>
        <w:ind w:right="-91" w:firstLine="709"/>
        <w:jc w:val="both"/>
        <w:rPr>
          <w:rFonts w:ascii="Bookman Old Style" w:hAnsi="Bookman Old Style" w:cs="Bookman Old Style"/>
          <w:sz w:val="28"/>
          <w:szCs w:val="28"/>
          <w:lang w:val="es-CO"/>
        </w:rPr>
      </w:pPr>
      <w:r>
        <w:rPr>
          <w:rFonts w:ascii="Bookman Old Style" w:hAnsi="Bookman Old Style" w:cs="Bookman Old Style"/>
          <w:sz w:val="28"/>
          <w:szCs w:val="28"/>
          <w:lang w:val="es-CO"/>
        </w:rPr>
        <w:t>Como quiera que el único motivo de inconformidad con la decisión impugnada se hizo consistir en la procedencia del recurso, l</w:t>
      </w:r>
      <w:r w:rsidR="00413EC3">
        <w:rPr>
          <w:rFonts w:ascii="Bookman Old Style" w:hAnsi="Bookman Old Style"/>
          <w:bCs/>
          <w:sz w:val="28"/>
          <w:szCs w:val="28"/>
        </w:rPr>
        <w:t xml:space="preserve">as razones </w:t>
      </w:r>
      <w:r>
        <w:rPr>
          <w:rFonts w:ascii="Bookman Old Style" w:hAnsi="Bookman Old Style"/>
          <w:bCs/>
          <w:sz w:val="28"/>
          <w:szCs w:val="28"/>
        </w:rPr>
        <w:t xml:space="preserve">expuestas resultan </w:t>
      </w:r>
      <w:r w:rsidR="00AD47F3">
        <w:rPr>
          <w:rFonts w:ascii="Bookman Old Style" w:hAnsi="Bookman Old Style"/>
          <w:bCs/>
          <w:sz w:val="28"/>
          <w:szCs w:val="28"/>
        </w:rPr>
        <w:t>suficientes para confirmar</w:t>
      </w:r>
      <w:r>
        <w:rPr>
          <w:rFonts w:ascii="Bookman Old Style" w:hAnsi="Bookman Old Style"/>
          <w:bCs/>
          <w:sz w:val="28"/>
          <w:szCs w:val="28"/>
        </w:rPr>
        <w:t>la.</w:t>
      </w:r>
    </w:p>
    <w:p w:rsidR="00F05C12" w:rsidRDefault="00F05C12" w:rsidP="00790FA0">
      <w:pPr>
        <w:spacing w:line="360" w:lineRule="auto"/>
        <w:ind w:firstLine="708"/>
        <w:jc w:val="both"/>
        <w:rPr>
          <w:rFonts w:ascii="Bookman Old Style" w:hAnsi="Bookman Old Style"/>
          <w:bCs/>
          <w:sz w:val="28"/>
          <w:szCs w:val="28"/>
        </w:rPr>
      </w:pPr>
    </w:p>
    <w:p w:rsidR="005D753D" w:rsidRDefault="005D753D" w:rsidP="005D753D">
      <w:pPr>
        <w:spacing w:line="360" w:lineRule="auto"/>
        <w:ind w:right="51" w:firstLine="720"/>
        <w:jc w:val="both"/>
        <w:rPr>
          <w:rFonts w:ascii="Bookman Old Style" w:hAnsi="Bookman Old Style" w:cs="Arial"/>
          <w:sz w:val="28"/>
          <w:szCs w:val="28"/>
        </w:rPr>
      </w:pPr>
      <w:r w:rsidRPr="00D67707">
        <w:rPr>
          <w:rFonts w:ascii="Bookman Old Style" w:hAnsi="Bookman Old Style" w:cs="Arial"/>
          <w:sz w:val="28"/>
          <w:szCs w:val="28"/>
        </w:rPr>
        <w:t>En mérito de lo expuesto, la Corte Suprema de Justicia, Sala de Casación Penal,</w:t>
      </w:r>
    </w:p>
    <w:p w:rsidR="005D753D" w:rsidRDefault="005D753D" w:rsidP="005D753D">
      <w:pPr>
        <w:spacing w:line="360" w:lineRule="auto"/>
        <w:ind w:right="51" w:firstLine="720"/>
        <w:jc w:val="both"/>
        <w:rPr>
          <w:rFonts w:ascii="Bookman Old Style" w:hAnsi="Bookman Old Style" w:cs="Arial"/>
          <w:sz w:val="28"/>
          <w:szCs w:val="28"/>
        </w:rPr>
      </w:pPr>
    </w:p>
    <w:p w:rsidR="005D753D" w:rsidRPr="00D67707" w:rsidRDefault="005D753D" w:rsidP="005D753D">
      <w:pPr>
        <w:spacing w:line="360" w:lineRule="auto"/>
        <w:ind w:right="51" w:firstLine="720"/>
        <w:jc w:val="both"/>
        <w:rPr>
          <w:rFonts w:ascii="Bookman Old Style" w:hAnsi="Bookman Old Style" w:cs="Arial"/>
          <w:sz w:val="28"/>
          <w:szCs w:val="28"/>
        </w:rPr>
      </w:pPr>
    </w:p>
    <w:p w:rsidR="005D753D" w:rsidRPr="000273F5" w:rsidRDefault="005D753D" w:rsidP="005D753D">
      <w:pPr>
        <w:tabs>
          <w:tab w:val="left" w:pos="3900"/>
        </w:tabs>
        <w:spacing w:line="360" w:lineRule="auto"/>
        <w:ind w:right="51"/>
        <w:jc w:val="center"/>
        <w:rPr>
          <w:rFonts w:ascii="Bookman Old Style" w:hAnsi="Bookman Old Style" w:cs="Arial"/>
          <w:b/>
          <w:sz w:val="28"/>
          <w:szCs w:val="28"/>
        </w:rPr>
      </w:pPr>
      <w:r w:rsidRPr="000273F5">
        <w:rPr>
          <w:rFonts w:ascii="Bookman Old Style" w:hAnsi="Bookman Old Style" w:cs="Arial"/>
          <w:b/>
          <w:sz w:val="28"/>
          <w:szCs w:val="28"/>
        </w:rPr>
        <w:t>RESUELVE</w:t>
      </w:r>
    </w:p>
    <w:p w:rsidR="005D753D" w:rsidRPr="000273F5" w:rsidRDefault="005D753D" w:rsidP="005D753D">
      <w:pPr>
        <w:spacing w:line="360" w:lineRule="auto"/>
        <w:ind w:right="51" w:firstLine="709"/>
        <w:jc w:val="both"/>
        <w:rPr>
          <w:rFonts w:ascii="Bookman Old Style" w:hAnsi="Bookman Old Style" w:cs="Arial"/>
          <w:b/>
          <w:sz w:val="32"/>
          <w:szCs w:val="28"/>
        </w:rPr>
      </w:pPr>
    </w:p>
    <w:p w:rsidR="002F4F22" w:rsidRDefault="005D753D" w:rsidP="002F4F22">
      <w:pPr>
        <w:spacing w:line="360" w:lineRule="auto"/>
        <w:ind w:firstLine="708"/>
        <w:jc w:val="both"/>
        <w:rPr>
          <w:rFonts w:ascii="Bookman Old Style" w:hAnsi="Bookman Old Style" w:cs="Arial"/>
          <w:sz w:val="28"/>
          <w:szCs w:val="28"/>
          <w:lang w:val="es-MX"/>
        </w:rPr>
      </w:pPr>
      <w:r w:rsidRPr="00E57914">
        <w:rPr>
          <w:rFonts w:ascii="Bookman Old Style" w:hAnsi="Bookman Old Style"/>
          <w:b/>
          <w:bCs/>
          <w:sz w:val="28"/>
          <w:szCs w:val="28"/>
        </w:rPr>
        <w:t>1.</w:t>
      </w:r>
      <w:r w:rsidRPr="00E57914">
        <w:rPr>
          <w:rFonts w:ascii="Bookman Old Style" w:hAnsi="Bookman Old Style"/>
          <w:b/>
          <w:bCs/>
          <w:sz w:val="28"/>
          <w:szCs w:val="28"/>
        </w:rPr>
        <w:tab/>
      </w:r>
      <w:r w:rsidR="00B65A2D">
        <w:rPr>
          <w:rFonts w:ascii="Bookman Old Style" w:hAnsi="Bookman Old Style"/>
          <w:b/>
          <w:spacing w:val="-3"/>
          <w:sz w:val="28"/>
          <w:szCs w:val="28"/>
        </w:rPr>
        <w:t xml:space="preserve">CONFIRMAR </w:t>
      </w:r>
      <w:r w:rsidR="002F4F22">
        <w:rPr>
          <w:rFonts w:ascii="Bookman Old Style" w:hAnsi="Bookman Old Style"/>
          <w:spacing w:val="-3"/>
          <w:sz w:val="28"/>
          <w:szCs w:val="28"/>
        </w:rPr>
        <w:t>el auto del 9</w:t>
      </w:r>
      <w:r w:rsidRPr="00E57914">
        <w:rPr>
          <w:rFonts w:ascii="Bookman Old Style" w:hAnsi="Bookman Old Style"/>
          <w:spacing w:val="-3"/>
          <w:sz w:val="28"/>
          <w:szCs w:val="28"/>
        </w:rPr>
        <w:t xml:space="preserve"> de </w:t>
      </w:r>
      <w:r w:rsidR="002F4F22">
        <w:rPr>
          <w:rFonts w:ascii="Bookman Old Style" w:hAnsi="Bookman Old Style"/>
          <w:spacing w:val="-3"/>
          <w:sz w:val="28"/>
          <w:szCs w:val="28"/>
        </w:rPr>
        <w:t xml:space="preserve">noviembre </w:t>
      </w:r>
      <w:r w:rsidR="00AD47F3">
        <w:rPr>
          <w:rFonts w:ascii="Bookman Old Style" w:hAnsi="Bookman Old Style"/>
          <w:spacing w:val="-3"/>
          <w:sz w:val="28"/>
          <w:szCs w:val="28"/>
        </w:rPr>
        <w:t>de 2017</w:t>
      </w:r>
      <w:r w:rsidRPr="00E57914">
        <w:rPr>
          <w:rFonts w:ascii="Bookman Old Style" w:hAnsi="Bookman Old Style"/>
          <w:spacing w:val="-3"/>
          <w:sz w:val="28"/>
          <w:szCs w:val="28"/>
        </w:rPr>
        <w:t>, mediante el cua</w:t>
      </w:r>
      <w:r w:rsidR="00DF7C67">
        <w:rPr>
          <w:rFonts w:ascii="Bookman Old Style" w:hAnsi="Bookman Old Style"/>
          <w:spacing w:val="-3"/>
          <w:sz w:val="28"/>
          <w:szCs w:val="28"/>
        </w:rPr>
        <w:t xml:space="preserve">l el Tribunal Superior de </w:t>
      </w:r>
      <w:r w:rsidR="002F4F22">
        <w:rPr>
          <w:rFonts w:ascii="Bookman Old Style" w:hAnsi="Bookman Old Style"/>
          <w:spacing w:val="-3"/>
          <w:sz w:val="28"/>
          <w:szCs w:val="28"/>
        </w:rPr>
        <w:t xml:space="preserve">Montería </w:t>
      </w:r>
      <w:r w:rsidR="002F4F22">
        <w:rPr>
          <w:rFonts w:ascii="Bookman Old Style" w:hAnsi="Bookman Old Style" w:cs="Arial"/>
          <w:sz w:val="28"/>
          <w:szCs w:val="28"/>
          <w:lang w:val="es-MX"/>
        </w:rPr>
        <w:t>repuso el decreto de pruebas para, en su lugar, rechazar e inadmitir algunas de las solicitadas por la Fiscalía.</w:t>
      </w:r>
    </w:p>
    <w:p w:rsidR="00943E8E" w:rsidRPr="00F81BBD" w:rsidRDefault="00AD47F3" w:rsidP="00F81BBD">
      <w:pPr>
        <w:spacing w:line="360" w:lineRule="auto"/>
        <w:ind w:firstLine="720"/>
        <w:jc w:val="both"/>
        <w:rPr>
          <w:rFonts w:ascii="Bookman Old Style" w:hAnsi="Bookman Old Style"/>
          <w:spacing w:val="-3"/>
          <w:sz w:val="28"/>
          <w:szCs w:val="28"/>
        </w:rPr>
      </w:pPr>
      <w:r>
        <w:rPr>
          <w:rFonts w:ascii="Bookman Old Style" w:hAnsi="Bookman Old Style"/>
          <w:spacing w:val="-3"/>
          <w:sz w:val="28"/>
          <w:szCs w:val="28"/>
        </w:rPr>
        <w:t xml:space="preserve"> </w:t>
      </w:r>
    </w:p>
    <w:p w:rsidR="005D753D" w:rsidRPr="00E57914" w:rsidRDefault="005D753D" w:rsidP="005D753D">
      <w:pPr>
        <w:spacing w:line="360" w:lineRule="auto"/>
        <w:ind w:firstLine="720"/>
        <w:jc w:val="both"/>
        <w:rPr>
          <w:rFonts w:ascii="Bookman Old Style" w:hAnsi="Bookman Old Style"/>
          <w:spacing w:val="-3"/>
          <w:sz w:val="28"/>
          <w:szCs w:val="28"/>
        </w:rPr>
      </w:pPr>
      <w:r w:rsidRPr="00E57914">
        <w:rPr>
          <w:rFonts w:ascii="Bookman Old Style" w:hAnsi="Bookman Old Style" w:cs="Arial"/>
          <w:b/>
          <w:bCs/>
          <w:sz w:val="28"/>
          <w:szCs w:val="28"/>
        </w:rPr>
        <w:t>2.</w:t>
      </w:r>
      <w:r w:rsidRPr="00E57914">
        <w:rPr>
          <w:rFonts w:ascii="Bookman Old Style" w:hAnsi="Bookman Old Style" w:cs="Arial"/>
          <w:b/>
          <w:bCs/>
          <w:sz w:val="28"/>
          <w:szCs w:val="28"/>
          <w:lang w:val="es-CO"/>
        </w:rPr>
        <w:tab/>
      </w:r>
      <w:r w:rsidRPr="00E57914">
        <w:rPr>
          <w:rFonts w:ascii="Bookman Old Style" w:hAnsi="Bookman Old Style"/>
          <w:b/>
          <w:spacing w:val="-3"/>
          <w:sz w:val="28"/>
          <w:szCs w:val="28"/>
        </w:rPr>
        <w:t>DEVOLVER</w:t>
      </w:r>
      <w:r w:rsidRPr="00E57914">
        <w:rPr>
          <w:rFonts w:ascii="Bookman Old Style" w:hAnsi="Bookman Old Style"/>
          <w:spacing w:val="-3"/>
          <w:sz w:val="28"/>
          <w:szCs w:val="28"/>
        </w:rPr>
        <w:t xml:space="preserve"> el diligenciamiento a la corporación judicial de origen</w:t>
      </w:r>
      <w:r w:rsidR="00654FB5">
        <w:rPr>
          <w:rFonts w:ascii="Bookman Old Style" w:hAnsi="Bookman Old Style"/>
          <w:spacing w:val="-3"/>
          <w:sz w:val="28"/>
          <w:szCs w:val="28"/>
        </w:rPr>
        <w:t>.</w:t>
      </w:r>
    </w:p>
    <w:p w:rsidR="00413EC3" w:rsidRPr="00E57914" w:rsidRDefault="00413EC3" w:rsidP="005D753D">
      <w:pPr>
        <w:spacing w:line="360" w:lineRule="auto"/>
        <w:ind w:right="51" w:firstLine="709"/>
        <w:jc w:val="both"/>
        <w:rPr>
          <w:rFonts w:ascii="Bookman Old Style" w:hAnsi="Bookman Old Style" w:cs="Arial"/>
          <w:sz w:val="32"/>
          <w:szCs w:val="28"/>
          <w:lang w:val="es-CO"/>
        </w:rPr>
      </w:pPr>
    </w:p>
    <w:p w:rsidR="00AD47F3" w:rsidRPr="00CF0070" w:rsidRDefault="00AD47F3" w:rsidP="00AD47F3">
      <w:pPr>
        <w:spacing w:line="360" w:lineRule="auto"/>
        <w:ind w:right="51" w:firstLine="709"/>
        <w:jc w:val="both"/>
        <w:rPr>
          <w:rFonts w:ascii="Bookman Old Style" w:hAnsi="Bookman Old Style" w:cs="Arial"/>
          <w:sz w:val="28"/>
          <w:szCs w:val="28"/>
          <w:lang w:val="es-CO"/>
        </w:rPr>
      </w:pPr>
      <w:r w:rsidRPr="00756677">
        <w:rPr>
          <w:rFonts w:ascii="Bookman Old Style" w:hAnsi="Bookman Old Style" w:cs="Arial"/>
          <w:bCs/>
          <w:iCs/>
          <w:sz w:val="28"/>
          <w:szCs w:val="28"/>
          <w:lang w:val="es-ES_tradnl"/>
        </w:rPr>
        <w:t>Esta determinación</w:t>
      </w:r>
      <w:r w:rsidR="00413EC3">
        <w:rPr>
          <w:rFonts w:ascii="Bookman Old Style" w:hAnsi="Bookman Old Style" w:cs="Arial"/>
          <w:bCs/>
          <w:iCs/>
          <w:sz w:val="28"/>
          <w:szCs w:val="28"/>
          <w:lang w:val="es-ES_tradnl"/>
        </w:rPr>
        <w:t xml:space="preserve"> queda notificada en estrados y </w:t>
      </w:r>
      <w:r w:rsidRPr="00756677">
        <w:rPr>
          <w:rFonts w:ascii="Bookman Old Style" w:hAnsi="Bookman Old Style" w:cs="Arial"/>
          <w:bCs/>
          <w:iCs/>
          <w:sz w:val="28"/>
          <w:szCs w:val="28"/>
          <w:lang w:val="es-ES_tradnl"/>
        </w:rPr>
        <w:t>contra ella no procede recurso alguno.</w:t>
      </w:r>
    </w:p>
    <w:p w:rsidR="00AD47F3" w:rsidRDefault="00AD47F3" w:rsidP="00AD47F3">
      <w:pPr>
        <w:pStyle w:val="Sangradetextonormal"/>
        <w:spacing w:line="360" w:lineRule="auto"/>
        <w:jc w:val="center"/>
        <w:rPr>
          <w:rFonts w:ascii="Bookman Old Style" w:hAnsi="Bookman Old Style" w:cs="Arial"/>
          <w:b/>
          <w:sz w:val="28"/>
          <w:szCs w:val="28"/>
        </w:rPr>
      </w:pPr>
    </w:p>
    <w:p w:rsidR="00413EC3" w:rsidRDefault="00413EC3" w:rsidP="00AD47F3">
      <w:pPr>
        <w:pStyle w:val="Sangradetextonormal"/>
        <w:spacing w:line="360" w:lineRule="auto"/>
        <w:jc w:val="center"/>
        <w:rPr>
          <w:rFonts w:ascii="Bookman Old Style" w:hAnsi="Bookman Old Style" w:cs="Arial"/>
          <w:b/>
          <w:sz w:val="28"/>
          <w:szCs w:val="28"/>
        </w:rPr>
      </w:pPr>
    </w:p>
    <w:p w:rsidR="00AD47F3" w:rsidRDefault="00AD47F3" w:rsidP="00AD47F3">
      <w:pPr>
        <w:pStyle w:val="Sangradetextonormal"/>
        <w:spacing w:line="360" w:lineRule="auto"/>
        <w:jc w:val="center"/>
        <w:rPr>
          <w:rFonts w:ascii="Bookman Old Style" w:hAnsi="Bookman Old Style" w:cs="Arial"/>
          <w:b/>
          <w:sz w:val="28"/>
          <w:szCs w:val="28"/>
        </w:rPr>
      </w:pPr>
      <w:r w:rsidRPr="000A7819">
        <w:rPr>
          <w:rFonts w:ascii="Bookman Old Style" w:hAnsi="Bookman Old Style" w:cs="Arial"/>
          <w:b/>
          <w:sz w:val="28"/>
          <w:szCs w:val="28"/>
        </w:rPr>
        <w:t>NOTIFÍQUESE Y CÚMPLASE.</w:t>
      </w:r>
    </w:p>
    <w:p w:rsidR="00AD47F3" w:rsidRDefault="00AD47F3" w:rsidP="0067245C">
      <w:pPr>
        <w:pStyle w:val="Sangradetextonormal"/>
        <w:spacing w:after="0" w:line="360" w:lineRule="auto"/>
        <w:jc w:val="center"/>
        <w:rPr>
          <w:rFonts w:ascii="Bookman Old Style" w:hAnsi="Bookman Old Style" w:cs="Arial"/>
          <w:b/>
          <w:sz w:val="28"/>
          <w:szCs w:val="28"/>
        </w:rPr>
      </w:pPr>
    </w:p>
    <w:p w:rsidR="00AD47F3" w:rsidRDefault="00AD47F3" w:rsidP="00AD47F3">
      <w:pPr>
        <w:pStyle w:val="Sangradetextonormal"/>
        <w:spacing w:line="360" w:lineRule="auto"/>
        <w:jc w:val="center"/>
        <w:rPr>
          <w:rFonts w:ascii="Bookman Old Style" w:hAnsi="Bookman Old Style" w:cs="Arial"/>
          <w:b/>
          <w:sz w:val="28"/>
          <w:szCs w:val="28"/>
        </w:rPr>
      </w:pPr>
    </w:p>
    <w:p w:rsidR="00AD47F3" w:rsidRDefault="00AD47F3" w:rsidP="00AD47F3">
      <w:pPr>
        <w:pStyle w:val="Sangradetextonormal"/>
        <w:spacing w:line="360" w:lineRule="auto"/>
        <w:jc w:val="center"/>
        <w:rPr>
          <w:rFonts w:ascii="Bookman Old Style" w:hAnsi="Bookman Old Style" w:cs="Arial"/>
          <w:b/>
          <w:sz w:val="28"/>
          <w:szCs w:val="28"/>
        </w:rPr>
      </w:pPr>
    </w:p>
    <w:p w:rsidR="006A197C" w:rsidRPr="000A7819" w:rsidRDefault="006A197C" w:rsidP="006A197C">
      <w:pPr>
        <w:spacing w:line="360" w:lineRule="auto"/>
        <w:jc w:val="center"/>
        <w:rPr>
          <w:rFonts w:ascii="Bookman Old Style" w:hAnsi="Bookman Old Style" w:cs="Arial"/>
          <w:b/>
          <w:sz w:val="28"/>
          <w:szCs w:val="28"/>
        </w:rPr>
      </w:pPr>
      <w:r w:rsidRPr="000A7819">
        <w:rPr>
          <w:rFonts w:ascii="Bookman Old Style" w:hAnsi="Bookman Old Style" w:cs="Arial"/>
          <w:b/>
          <w:sz w:val="28"/>
          <w:szCs w:val="28"/>
        </w:rPr>
        <w:lastRenderedPageBreak/>
        <w:t xml:space="preserve">LUIS ANTONIO HERNÁNDEZ BARBOSA </w:t>
      </w:r>
    </w:p>
    <w:p w:rsidR="00AD47F3" w:rsidRPr="00F07200" w:rsidRDefault="00AD47F3" w:rsidP="00AD47F3">
      <w:pPr>
        <w:spacing w:line="360" w:lineRule="auto"/>
        <w:jc w:val="center"/>
        <w:rPr>
          <w:rFonts w:ascii="Bookman Old Style" w:hAnsi="Bookman Old Style" w:cs="Arial"/>
          <w:b/>
          <w:bCs/>
          <w:iCs/>
          <w:sz w:val="28"/>
          <w:szCs w:val="28"/>
          <w:lang w:val="es-ES_tradnl"/>
        </w:rPr>
      </w:pPr>
    </w:p>
    <w:p w:rsidR="00AD47F3" w:rsidRPr="000A7819" w:rsidRDefault="00AD47F3" w:rsidP="00AD47F3">
      <w:pPr>
        <w:spacing w:line="360" w:lineRule="auto"/>
        <w:jc w:val="center"/>
        <w:rPr>
          <w:rFonts w:ascii="Bookman Old Style" w:hAnsi="Bookman Old Style" w:cs="Arial"/>
          <w:b/>
          <w:bCs/>
          <w:iCs/>
          <w:sz w:val="28"/>
          <w:szCs w:val="28"/>
        </w:rPr>
      </w:pPr>
    </w:p>
    <w:p w:rsidR="00AD47F3" w:rsidRPr="000A7819" w:rsidRDefault="00AD47F3" w:rsidP="00AD47F3">
      <w:pPr>
        <w:spacing w:line="360" w:lineRule="auto"/>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sz w:val="28"/>
          <w:szCs w:val="28"/>
        </w:rPr>
      </w:pPr>
      <w:r w:rsidRPr="000A7819">
        <w:rPr>
          <w:rFonts w:ascii="Bookman Old Style" w:hAnsi="Bookman Old Style" w:cs="Arial"/>
          <w:b/>
          <w:bCs/>
          <w:iCs/>
          <w:sz w:val="28"/>
          <w:szCs w:val="28"/>
        </w:rPr>
        <w:t>JOSÉ FRANCISCO ACUÑA VIZCAYA</w:t>
      </w:r>
      <w:r w:rsidRPr="000A7819">
        <w:rPr>
          <w:rFonts w:ascii="Bookman Old Style" w:hAnsi="Bookman Old Style" w:cs="Arial"/>
          <w:b/>
          <w:sz w:val="28"/>
          <w:szCs w:val="28"/>
        </w:rPr>
        <w:t xml:space="preserve"> </w:t>
      </w:r>
    </w:p>
    <w:p w:rsidR="00AD47F3" w:rsidRPr="000A7819" w:rsidRDefault="00AD47F3" w:rsidP="00AD47F3">
      <w:pPr>
        <w:spacing w:line="360" w:lineRule="auto"/>
        <w:jc w:val="center"/>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sz w:val="28"/>
          <w:szCs w:val="28"/>
        </w:rPr>
      </w:pPr>
    </w:p>
    <w:p w:rsidR="00AD47F3" w:rsidRDefault="00AD47F3" w:rsidP="00AD47F3">
      <w:pPr>
        <w:spacing w:line="360" w:lineRule="auto"/>
        <w:jc w:val="center"/>
        <w:rPr>
          <w:rFonts w:ascii="Bookman Old Style" w:hAnsi="Bookman Old Style" w:cs="Arial"/>
          <w:b/>
          <w:sz w:val="28"/>
          <w:szCs w:val="28"/>
        </w:rPr>
      </w:pPr>
    </w:p>
    <w:p w:rsidR="002F4F22" w:rsidRPr="000A7819" w:rsidRDefault="002F4F22" w:rsidP="00AD47F3">
      <w:pPr>
        <w:spacing w:line="360" w:lineRule="auto"/>
        <w:jc w:val="center"/>
        <w:rPr>
          <w:rFonts w:ascii="Bookman Old Style" w:hAnsi="Bookman Old Style" w:cs="Arial"/>
          <w:b/>
          <w:sz w:val="28"/>
          <w:szCs w:val="28"/>
        </w:rPr>
      </w:pPr>
    </w:p>
    <w:p w:rsidR="00AD47F3" w:rsidRDefault="00AD47F3" w:rsidP="00AD47F3">
      <w:pPr>
        <w:spacing w:line="360" w:lineRule="auto"/>
        <w:jc w:val="center"/>
        <w:rPr>
          <w:rFonts w:ascii="Bookman Old Style" w:hAnsi="Bookman Old Style" w:cs="Arial"/>
          <w:b/>
          <w:sz w:val="28"/>
          <w:szCs w:val="28"/>
        </w:rPr>
      </w:pPr>
      <w:r w:rsidRPr="000A7819">
        <w:rPr>
          <w:rFonts w:ascii="Bookman Old Style" w:hAnsi="Bookman Old Style" w:cs="Arial"/>
          <w:b/>
          <w:sz w:val="28"/>
          <w:szCs w:val="28"/>
        </w:rPr>
        <w:t>JOSÉ LUIS BARCELÓ CAMACHO</w:t>
      </w:r>
    </w:p>
    <w:p w:rsidR="00AD47F3" w:rsidRDefault="00AD47F3" w:rsidP="00AD47F3">
      <w:pPr>
        <w:spacing w:line="360" w:lineRule="auto"/>
        <w:jc w:val="center"/>
        <w:rPr>
          <w:rFonts w:ascii="Bookman Old Style" w:hAnsi="Bookman Old Style" w:cs="Arial"/>
          <w:b/>
          <w:sz w:val="28"/>
          <w:szCs w:val="28"/>
        </w:rPr>
      </w:pPr>
    </w:p>
    <w:p w:rsidR="00AD47F3" w:rsidRDefault="00AD47F3" w:rsidP="00AD47F3">
      <w:pPr>
        <w:spacing w:line="360" w:lineRule="auto"/>
        <w:jc w:val="center"/>
        <w:rPr>
          <w:rFonts w:ascii="Bookman Old Style" w:hAnsi="Bookman Old Style" w:cs="Arial"/>
          <w:b/>
          <w:sz w:val="28"/>
          <w:szCs w:val="28"/>
        </w:rPr>
      </w:pPr>
    </w:p>
    <w:p w:rsidR="00AD47F3" w:rsidRDefault="00AD47F3" w:rsidP="00AD47F3">
      <w:pPr>
        <w:spacing w:line="360" w:lineRule="auto"/>
        <w:jc w:val="center"/>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bCs/>
          <w:iCs/>
          <w:sz w:val="28"/>
          <w:szCs w:val="28"/>
        </w:rPr>
      </w:pPr>
      <w:r>
        <w:rPr>
          <w:rFonts w:ascii="Bookman Old Style" w:hAnsi="Bookman Old Style" w:cs="Arial"/>
          <w:b/>
          <w:sz w:val="28"/>
          <w:szCs w:val="28"/>
        </w:rPr>
        <w:t>FERNANDO LEÓN BOLAÑOS PALACIOS</w:t>
      </w:r>
    </w:p>
    <w:p w:rsidR="00AD47F3" w:rsidRPr="000A7819" w:rsidRDefault="00AD47F3" w:rsidP="00AD47F3">
      <w:pPr>
        <w:spacing w:line="360" w:lineRule="auto"/>
        <w:jc w:val="center"/>
        <w:rPr>
          <w:rFonts w:ascii="Bookman Old Style" w:hAnsi="Bookman Old Style" w:cs="Arial"/>
          <w:b/>
          <w:bCs/>
          <w:iCs/>
          <w:sz w:val="28"/>
          <w:szCs w:val="28"/>
        </w:rPr>
      </w:pPr>
    </w:p>
    <w:p w:rsidR="00AD47F3" w:rsidRDefault="00AD47F3" w:rsidP="00AD47F3">
      <w:pPr>
        <w:spacing w:line="360" w:lineRule="auto"/>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sz w:val="28"/>
          <w:szCs w:val="28"/>
        </w:rPr>
      </w:pPr>
      <w:r w:rsidRPr="000A7819">
        <w:rPr>
          <w:rFonts w:ascii="Bookman Old Style" w:hAnsi="Bookman Old Style" w:cs="Arial"/>
          <w:b/>
          <w:sz w:val="28"/>
          <w:szCs w:val="28"/>
        </w:rPr>
        <w:t>FERNANDO ALBERTO CASTRO CABALLERO</w:t>
      </w:r>
    </w:p>
    <w:p w:rsidR="00AD47F3" w:rsidRPr="000A7819" w:rsidRDefault="00AD47F3" w:rsidP="00AD47F3">
      <w:pPr>
        <w:spacing w:line="360" w:lineRule="auto"/>
        <w:jc w:val="center"/>
        <w:rPr>
          <w:rFonts w:ascii="Bookman Old Style" w:hAnsi="Bookman Old Style" w:cs="Arial"/>
          <w:b/>
          <w:bCs/>
          <w:iCs/>
          <w:sz w:val="28"/>
          <w:szCs w:val="28"/>
        </w:rPr>
      </w:pPr>
    </w:p>
    <w:p w:rsidR="00AD47F3" w:rsidRPr="000A7819" w:rsidRDefault="00AD47F3" w:rsidP="00AD47F3">
      <w:pPr>
        <w:spacing w:line="360" w:lineRule="auto"/>
        <w:jc w:val="center"/>
        <w:rPr>
          <w:rFonts w:ascii="Bookman Old Style" w:hAnsi="Bookman Old Style" w:cs="Arial"/>
          <w:b/>
          <w:sz w:val="28"/>
          <w:szCs w:val="28"/>
        </w:rPr>
      </w:pPr>
    </w:p>
    <w:p w:rsidR="00AD47F3" w:rsidRPr="000A7819" w:rsidRDefault="00AD47F3" w:rsidP="00AD47F3">
      <w:pPr>
        <w:spacing w:line="360" w:lineRule="auto"/>
        <w:rPr>
          <w:rFonts w:ascii="Bookman Old Style" w:hAnsi="Bookman Old Style" w:cs="Arial"/>
          <w:b/>
          <w:sz w:val="28"/>
          <w:szCs w:val="28"/>
        </w:rPr>
      </w:pPr>
    </w:p>
    <w:p w:rsidR="006A197C" w:rsidRPr="000A7819" w:rsidRDefault="006A197C" w:rsidP="006A197C">
      <w:pPr>
        <w:pStyle w:val="Sangradetextonormal"/>
        <w:spacing w:line="360" w:lineRule="auto"/>
        <w:jc w:val="center"/>
        <w:rPr>
          <w:rFonts w:ascii="Bookman Old Style" w:hAnsi="Bookman Old Style" w:cs="Arial"/>
          <w:b/>
          <w:bCs/>
          <w:sz w:val="28"/>
          <w:szCs w:val="28"/>
        </w:rPr>
      </w:pPr>
      <w:r>
        <w:rPr>
          <w:rFonts w:ascii="Bookman Old Style" w:hAnsi="Bookman Old Style" w:cs="Arial"/>
          <w:b/>
          <w:sz w:val="28"/>
          <w:szCs w:val="28"/>
        </w:rPr>
        <w:t>EUGENIO FERNÁNDEZ CARLIER</w:t>
      </w:r>
    </w:p>
    <w:p w:rsidR="00AD47F3" w:rsidRDefault="00AD47F3" w:rsidP="00AD47F3">
      <w:pPr>
        <w:spacing w:line="360" w:lineRule="auto"/>
        <w:jc w:val="center"/>
        <w:rPr>
          <w:rFonts w:ascii="Bookman Old Style" w:hAnsi="Bookman Old Style" w:cs="Arial"/>
          <w:b/>
          <w:sz w:val="28"/>
          <w:szCs w:val="28"/>
        </w:rPr>
      </w:pPr>
    </w:p>
    <w:p w:rsidR="00AD47F3" w:rsidRDefault="00AD47F3" w:rsidP="00AD47F3">
      <w:pPr>
        <w:spacing w:line="360" w:lineRule="auto"/>
        <w:jc w:val="center"/>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sz w:val="28"/>
          <w:szCs w:val="28"/>
        </w:rPr>
      </w:pPr>
      <w:r w:rsidRPr="000A7819">
        <w:rPr>
          <w:rFonts w:ascii="Bookman Old Style" w:hAnsi="Bookman Old Style" w:cs="Arial"/>
          <w:b/>
          <w:sz w:val="28"/>
          <w:szCs w:val="28"/>
        </w:rPr>
        <w:t>EYDER PATIÑO CABRERA</w:t>
      </w:r>
    </w:p>
    <w:p w:rsidR="00AD47F3" w:rsidRPr="000A7819" w:rsidRDefault="00AD47F3" w:rsidP="00AD47F3">
      <w:pPr>
        <w:spacing w:line="360" w:lineRule="auto"/>
        <w:jc w:val="center"/>
        <w:rPr>
          <w:rFonts w:ascii="Bookman Old Style" w:hAnsi="Bookman Old Style" w:cs="Arial"/>
          <w:b/>
          <w:bCs/>
          <w:iCs/>
          <w:sz w:val="28"/>
          <w:szCs w:val="28"/>
        </w:rPr>
      </w:pPr>
    </w:p>
    <w:p w:rsidR="00AD47F3" w:rsidRPr="000A7819" w:rsidRDefault="00AD47F3" w:rsidP="00AD47F3">
      <w:pPr>
        <w:spacing w:line="360" w:lineRule="auto"/>
        <w:jc w:val="center"/>
        <w:rPr>
          <w:rFonts w:ascii="Bookman Old Style" w:hAnsi="Bookman Old Style" w:cs="Arial"/>
          <w:b/>
          <w:bCs/>
          <w:iCs/>
          <w:sz w:val="28"/>
          <w:szCs w:val="28"/>
        </w:rPr>
      </w:pPr>
    </w:p>
    <w:p w:rsidR="00AD47F3" w:rsidRPr="000A7819" w:rsidRDefault="00AD47F3" w:rsidP="00AD47F3">
      <w:pPr>
        <w:spacing w:line="360" w:lineRule="auto"/>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bCs/>
          <w:iCs/>
          <w:sz w:val="28"/>
          <w:szCs w:val="28"/>
        </w:rPr>
      </w:pPr>
      <w:r w:rsidRPr="000A7819">
        <w:rPr>
          <w:rFonts w:ascii="Bookman Old Style" w:hAnsi="Bookman Old Style" w:cs="Arial"/>
          <w:b/>
          <w:sz w:val="28"/>
          <w:szCs w:val="28"/>
        </w:rPr>
        <w:t>PATRICIA SALAZAR CUÉLLAR</w:t>
      </w:r>
    </w:p>
    <w:p w:rsidR="00AD47F3" w:rsidRDefault="00AD47F3" w:rsidP="00AD47F3">
      <w:pPr>
        <w:spacing w:line="360" w:lineRule="auto"/>
        <w:jc w:val="center"/>
        <w:rPr>
          <w:rFonts w:ascii="Bookman Old Style" w:hAnsi="Bookman Old Style" w:cs="Arial"/>
          <w:b/>
          <w:sz w:val="28"/>
          <w:szCs w:val="28"/>
        </w:rPr>
      </w:pPr>
    </w:p>
    <w:p w:rsidR="00AD47F3" w:rsidRDefault="00AD47F3" w:rsidP="00AD47F3">
      <w:pPr>
        <w:spacing w:line="360" w:lineRule="auto"/>
        <w:jc w:val="center"/>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sz w:val="28"/>
          <w:szCs w:val="28"/>
        </w:rPr>
      </w:pPr>
    </w:p>
    <w:p w:rsidR="00AD47F3" w:rsidRPr="000A7819" w:rsidRDefault="00AD47F3" w:rsidP="00AD47F3">
      <w:pPr>
        <w:spacing w:line="360" w:lineRule="auto"/>
        <w:jc w:val="center"/>
        <w:rPr>
          <w:rFonts w:ascii="Bookman Old Style" w:hAnsi="Bookman Old Style" w:cs="Arial"/>
          <w:b/>
          <w:bCs/>
          <w:iCs/>
          <w:sz w:val="28"/>
          <w:szCs w:val="28"/>
        </w:rPr>
      </w:pPr>
      <w:r w:rsidRPr="000A7819">
        <w:rPr>
          <w:rFonts w:ascii="Bookman Old Style" w:hAnsi="Bookman Old Style" w:cs="Arial"/>
          <w:b/>
          <w:sz w:val="28"/>
          <w:szCs w:val="28"/>
        </w:rPr>
        <w:t>LUIS GUILLERMO SALAZAR OTERO</w:t>
      </w:r>
    </w:p>
    <w:p w:rsidR="00AD47F3" w:rsidRPr="000A7819" w:rsidRDefault="00AD47F3" w:rsidP="00AD47F3">
      <w:pPr>
        <w:spacing w:line="360" w:lineRule="auto"/>
        <w:ind w:left="708" w:hanging="708"/>
        <w:jc w:val="center"/>
        <w:rPr>
          <w:rFonts w:ascii="Bookman Old Style" w:hAnsi="Bookman Old Style" w:cs="Arial"/>
          <w:b/>
          <w:bCs/>
          <w:iCs/>
          <w:sz w:val="28"/>
          <w:szCs w:val="28"/>
        </w:rPr>
      </w:pPr>
    </w:p>
    <w:p w:rsidR="00AD47F3" w:rsidRPr="000A7819" w:rsidRDefault="00AD47F3" w:rsidP="00AD47F3">
      <w:pPr>
        <w:spacing w:line="360" w:lineRule="auto"/>
        <w:ind w:left="708" w:hanging="708"/>
        <w:jc w:val="center"/>
        <w:rPr>
          <w:rFonts w:ascii="Bookman Old Style" w:hAnsi="Bookman Old Style" w:cs="Arial"/>
          <w:b/>
          <w:bCs/>
          <w:iCs/>
          <w:sz w:val="28"/>
          <w:szCs w:val="28"/>
        </w:rPr>
      </w:pPr>
    </w:p>
    <w:p w:rsidR="00AD47F3" w:rsidRDefault="00AD47F3" w:rsidP="00AD47F3">
      <w:pPr>
        <w:spacing w:line="360" w:lineRule="auto"/>
        <w:ind w:left="708" w:hanging="708"/>
        <w:jc w:val="center"/>
        <w:rPr>
          <w:rFonts w:ascii="Bookman Old Style" w:hAnsi="Bookman Old Style" w:cs="Arial"/>
          <w:b/>
          <w:sz w:val="28"/>
          <w:szCs w:val="28"/>
        </w:rPr>
      </w:pPr>
    </w:p>
    <w:p w:rsidR="002F4F22" w:rsidRPr="000A7819" w:rsidRDefault="002F4F22" w:rsidP="00AD47F3">
      <w:pPr>
        <w:spacing w:line="360" w:lineRule="auto"/>
        <w:ind w:left="708" w:hanging="708"/>
        <w:jc w:val="center"/>
        <w:rPr>
          <w:rFonts w:ascii="Bookman Old Style" w:hAnsi="Bookman Old Style" w:cs="Arial"/>
          <w:b/>
          <w:sz w:val="28"/>
          <w:szCs w:val="28"/>
        </w:rPr>
      </w:pPr>
    </w:p>
    <w:p w:rsidR="00AD47F3" w:rsidRPr="00AD47F3" w:rsidRDefault="00AD47F3" w:rsidP="00AD47F3">
      <w:pPr>
        <w:pStyle w:val="Textoindependiente"/>
        <w:spacing w:line="240" w:lineRule="auto"/>
        <w:jc w:val="center"/>
        <w:rPr>
          <w:rFonts w:ascii="Bookman Old Style" w:hAnsi="Bookman Old Style" w:cs="Arial"/>
          <w:b/>
          <w:i w:val="0"/>
          <w:sz w:val="28"/>
          <w:szCs w:val="28"/>
        </w:rPr>
      </w:pPr>
      <w:r w:rsidRPr="00AD47F3">
        <w:rPr>
          <w:rFonts w:ascii="Bookman Old Style" w:hAnsi="Bookman Old Style" w:cs="Arial"/>
          <w:b/>
          <w:i w:val="0"/>
          <w:sz w:val="28"/>
          <w:szCs w:val="28"/>
        </w:rPr>
        <w:t>NUBIA YOLANDA NOVA GARCÍA</w:t>
      </w:r>
    </w:p>
    <w:p w:rsidR="00AD47F3" w:rsidRPr="000A7819" w:rsidRDefault="00AD47F3" w:rsidP="00AD47F3">
      <w:pPr>
        <w:spacing w:line="360" w:lineRule="auto"/>
        <w:jc w:val="center"/>
        <w:rPr>
          <w:rFonts w:ascii="Bookman Old Style" w:hAnsi="Bookman Old Style" w:cs="Arial"/>
          <w:sz w:val="28"/>
          <w:szCs w:val="28"/>
        </w:rPr>
      </w:pPr>
      <w:r w:rsidRPr="000A7819">
        <w:rPr>
          <w:rFonts w:ascii="Bookman Old Style" w:hAnsi="Bookman Old Style" w:cs="Arial"/>
          <w:sz w:val="28"/>
          <w:szCs w:val="28"/>
        </w:rPr>
        <w:t>Secretaria</w:t>
      </w:r>
    </w:p>
    <w:p w:rsidR="005D753D" w:rsidRDefault="005D753D" w:rsidP="005D753D">
      <w:pPr>
        <w:spacing w:line="360" w:lineRule="auto"/>
        <w:rPr>
          <w:rFonts w:ascii="Bookman Old Style" w:hAnsi="Bookman Old Style" w:cs="Arial"/>
          <w:sz w:val="28"/>
          <w:szCs w:val="28"/>
        </w:rPr>
      </w:pPr>
    </w:p>
    <w:p w:rsidR="005D753D" w:rsidRDefault="005D753D" w:rsidP="005D753D">
      <w:pPr>
        <w:spacing w:line="360" w:lineRule="auto"/>
        <w:rPr>
          <w:rFonts w:ascii="Bookman Old Style" w:hAnsi="Bookman Old Style" w:cs="Arial"/>
          <w:sz w:val="28"/>
          <w:szCs w:val="28"/>
        </w:rPr>
      </w:pPr>
    </w:p>
    <w:p w:rsidR="003E2165" w:rsidRDefault="003E2165" w:rsidP="005D753D">
      <w:pPr>
        <w:spacing w:line="360" w:lineRule="auto"/>
        <w:rPr>
          <w:rFonts w:ascii="Bookman Old Style" w:hAnsi="Bookman Old Style" w:cs="Arial"/>
          <w:sz w:val="28"/>
          <w:szCs w:val="28"/>
        </w:rPr>
      </w:pPr>
    </w:p>
    <w:p w:rsidR="003E2165" w:rsidRDefault="003E2165" w:rsidP="005D753D">
      <w:pPr>
        <w:spacing w:line="360" w:lineRule="auto"/>
        <w:rPr>
          <w:rFonts w:ascii="Bookman Old Style" w:hAnsi="Bookman Old Style" w:cs="Arial"/>
          <w:sz w:val="28"/>
          <w:szCs w:val="28"/>
        </w:rPr>
      </w:pPr>
    </w:p>
    <w:p w:rsidR="003E2165" w:rsidRDefault="003E2165" w:rsidP="005D753D">
      <w:pPr>
        <w:spacing w:line="360" w:lineRule="auto"/>
        <w:rPr>
          <w:rFonts w:ascii="Bookman Old Style" w:hAnsi="Bookman Old Style" w:cs="Arial"/>
          <w:sz w:val="28"/>
          <w:szCs w:val="28"/>
        </w:rPr>
      </w:pPr>
    </w:p>
    <w:p w:rsidR="003E2165" w:rsidRDefault="003E2165" w:rsidP="005D753D">
      <w:pPr>
        <w:spacing w:line="360" w:lineRule="auto"/>
        <w:rPr>
          <w:rFonts w:ascii="Bookman Old Style" w:hAnsi="Bookman Old Style" w:cs="Arial"/>
          <w:sz w:val="28"/>
          <w:szCs w:val="28"/>
        </w:rPr>
      </w:pPr>
    </w:p>
    <w:p w:rsidR="003E2165" w:rsidRDefault="003E2165"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AD47F3" w:rsidRDefault="00AD47F3" w:rsidP="005D753D">
      <w:pPr>
        <w:spacing w:line="360" w:lineRule="auto"/>
        <w:rPr>
          <w:rFonts w:ascii="Bookman Old Style" w:hAnsi="Bookman Old Style" w:cs="Arial"/>
          <w:sz w:val="28"/>
          <w:szCs w:val="28"/>
        </w:rPr>
      </w:pPr>
    </w:p>
    <w:p w:rsidR="002F4F22" w:rsidRDefault="002F4F22" w:rsidP="005D753D">
      <w:pPr>
        <w:spacing w:line="360" w:lineRule="auto"/>
        <w:rPr>
          <w:rFonts w:ascii="Bookman Old Style" w:hAnsi="Bookman Old Style" w:cs="Arial"/>
          <w:sz w:val="28"/>
          <w:szCs w:val="28"/>
        </w:rPr>
      </w:pPr>
    </w:p>
    <w:sectPr w:rsidR="002F4F22" w:rsidSect="008B0AB1">
      <w:headerReference w:type="default" r:id="rId7"/>
      <w:footerReference w:type="default" r:id="rId8"/>
      <w:headerReference w:type="first" r:id="rId9"/>
      <w:pgSz w:w="12242" w:h="18722" w:code="121"/>
      <w:pgMar w:top="2268" w:right="1701" w:bottom="1701" w:left="2268"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877" w:rsidRDefault="00C30877">
      <w:r>
        <w:separator/>
      </w:r>
    </w:p>
  </w:endnote>
  <w:endnote w:type="continuationSeparator" w:id="0">
    <w:p w:rsidR="00C30877" w:rsidRDefault="00C3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812677"/>
      <w:docPartObj>
        <w:docPartGallery w:val="Page Numbers (Bottom of Page)"/>
        <w:docPartUnique/>
      </w:docPartObj>
    </w:sdtPr>
    <w:sdtEndPr/>
    <w:sdtContent>
      <w:p w:rsidR="00AB763E" w:rsidRDefault="00AB763E">
        <w:pPr>
          <w:pStyle w:val="Piedepgina"/>
          <w:jc w:val="center"/>
        </w:pPr>
        <w:r>
          <w:fldChar w:fldCharType="begin"/>
        </w:r>
        <w:r>
          <w:instrText>PAGE   \* MERGEFORMAT</w:instrText>
        </w:r>
        <w:r>
          <w:fldChar w:fldCharType="separate"/>
        </w:r>
        <w:r w:rsidR="00FC68BC">
          <w:rPr>
            <w:noProof/>
          </w:rPr>
          <w:t>10</w:t>
        </w:r>
        <w:r>
          <w:fldChar w:fldCharType="end"/>
        </w:r>
      </w:p>
    </w:sdtContent>
  </w:sdt>
  <w:p w:rsidR="00AB763E" w:rsidRDefault="00AB76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877" w:rsidRDefault="00C30877">
      <w:r>
        <w:separator/>
      </w:r>
    </w:p>
  </w:footnote>
  <w:footnote w:type="continuationSeparator" w:id="0">
    <w:p w:rsidR="00C30877" w:rsidRDefault="00C30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8C4" w:rsidRDefault="008638C4" w:rsidP="00E93ED7">
    <w:pPr>
      <w:pStyle w:val="Encabezado"/>
      <w:jc w:val="right"/>
      <w:rPr>
        <w:rFonts w:ascii="Arial" w:hAnsi="Arial" w:cs="Arial"/>
        <w:i/>
        <w:sz w:val="20"/>
        <w:szCs w:val="20"/>
      </w:rPr>
    </w:pPr>
  </w:p>
  <w:p w:rsidR="00F82145" w:rsidRPr="00D573C5" w:rsidRDefault="00662F4D" w:rsidP="00F82145">
    <w:pPr>
      <w:pStyle w:val="Encabezado"/>
      <w:jc w:val="right"/>
      <w:rPr>
        <w:rFonts w:ascii="Bookman Old Style" w:hAnsi="Bookman Old Style"/>
        <w:sz w:val="20"/>
      </w:rPr>
    </w:pPr>
    <w:r>
      <w:rPr>
        <w:rFonts w:ascii="Bookman Old Style" w:hAnsi="Bookman Old Style"/>
        <w:sz w:val="20"/>
      </w:rPr>
      <w:t>Radicación 51677</w:t>
    </w:r>
  </w:p>
  <w:p w:rsidR="00F82145" w:rsidRPr="00D573C5" w:rsidRDefault="00662F4D" w:rsidP="00F82145">
    <w:pPr>
      <w:pStyle w:val="Encabezado"/>
      <w:jc w:val="right"/>
      <w:rPr>
        <w:rFonts w:ascii="Bookman Old Style" w:hAnsi="Bookman Old Style"/>
        <w:sz w:val="20"/>
      </w:rPr>
    </w:pPr>
    <w:r>
      <w:rPr>
        <w:rFonts w:ascii="Bookman Old Style" w:hAnsi="Bookman Old Style"/>
        <w:sz w:val="20"/>
      </w:rPr>
      <w:t>Manuel Gregorio Herazo Jiménez</w:t>
    </w:r>
  </w:p>
  <w:p w:rsidR="00F82145" w:rsidRPr="0019169D" w:rsidRDefault="00F82145" w:rsidP="00F82145">
    <w:pPr>
      <w:pStyle w:val="Encabezado"/>
      <w:jc w:val="right"/>
      <w:rPr>
        <w:rFonts w:ascii="Bookman Old Style" w:hAnsi="Bookman Old Style"/>
        <w:i/>
        <w:sz w:val="20"/>
      </w:rPr>
    </w:pPr>
  </w:p>
  <w:p w:rsidR="00131FDC" w:rsidRDefault="00131FDC" w:rsidP="00E93ED7">
    <w:pPr>
      <w:pStyle w:val="Encabezado"/>
      <w:jc w:val="right"/>
      <w:rPr>
        <w:rFonts w:ascii="Bookman Old Style" w:hAnsi="Bookman Old Style"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1CC" w:rsidRDefault="00DC61CC" w:rsidP="00DC61CC">
    <w:pPr>
      <w:keepNext/>
      <w:ind w:right="51"/>
      <w:jc w:val="center"/>
      <w:outlineLvl w:val="0"/>
      <w:rPr>
        <w:rFonts w:ascii="Edwardian Script ITC" w:hAnsi="Edwardian Script ITC"/>
        <w:szCs w:val="28"/>
      </w:rPr>
    </w:pPr>
    <w:r>
      <w:rPr>
        <w:rFonts w:ascii="Edwardian Script ITC" w:hAnsi="Edwardian Script ITC"/>
        <w:noProof/>
        <w:szCs w:val="28"/>
        <w:lang w:val="es-CO" w:eastAsia="es-CO"/>
      </w:rPr>
      <w:drawing>
        <wp:inline distT="0" distB="0" distL="0" distR="0" wp14:anchorId="4087BFE3" wp14:editId="32D941AE">
          <wp:extent cx="1356360" cy="1722120"/>
          <wp:effectExtent l="0" t="0" r="0" b="0"/>
          <wp:docPr id="1" name="Imagen 1" descr="EscudosVertical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sVerticales3"/>
                  <pic:cNvPicPr>
                    <a:picLocks noChangeAspect="1" noChangeArrowheads="1"/>
                  </pic:cNvPicPr>
                </pic:nvPicPr>
                <pic:blipFill>
                  <a:blip r:embed="rId1">
                    <a:extLst>
                      <a:ext uri="{28A0092B-C50C-407E-A947-70E740481C1C}">
                        <a14:useLocalDpi xmlns:a14="http://schemas.microsoft.com/office/drawing/2010/main" val="0"/>
                      </a:ext>
                    </a:extLst>
                  </a:blip>
                  <a:srcRect l="16354" t="3635" r="17262" b="12175"/>
                  <a:stretch>
                    <a:fillRect/>
                  </a:stretch>
                </pic:blipFill>
                <pic:spPr bwMode="auto">
                  <a:xfrm>
                    <a:off x="0" y="0"/>
                    <a:ext cx="1356360" cy="1722120"/>
                  </a:xfrm>
                  <a:prstGeom prst="rect">
                    <a:avLst/>
                  </a:prstGeom>
                  <a:noFill/>
                  <a:ln>
                    <a:noFill/>
                  </a:ln>
                </pic:spPr>
              </pic:pic>
            </a:graphicData>
          </a:graphic>
        </wp:inline>
      </w:drawing>
    </w:r>
  </w:p>
  <w:p w:rsidR="00A84099" w:rsidRPr="00DC61CC" w:rsidRDefault="00A84099" w:rsidP="00DC61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D7"/>
    <w:rsid w:val="00000A15"/>
    <w:rsid w:val="00006F6C"/>
    <w:rsid w:val="00011174"/>
    <w:rsid w:val="00011506"/>
    <w:rsid w:val="00011C61"/>
    <w:rsid w:val="000171AC"/>
    <w:rsid w:val="00023299"/>
    <w:rsid w:val="00025E8D"/>
    <w:rsid w:val="000332D7"/>
    <w:rsid w:val="0003429F"/>
    <w:rsid w:val="00034F21"/>
    <w:rsid w:val="000357BB"/>
    <w:rsid w:val="00040136"/>
    <w:rsid w:val="00054EEF"/>
    <w:rsid w:val="000634D5"/>
    <w:rsid w:val="00065464"/>
    <w:rsid w:val="00072875"/>
    <w:rsid w:val="000732FE"/>
    <w:rsid w:val="00074F7E"/>
    <w:rsid w:val="0007656E"/>
    <w:rsid w:val="00084240"/>
    <w:rsid w:val="00085489"/>
    <w:rsid w:val="000856C5"/>
    <w:rsid w:val="00095849"/>
    <w:rsid w:val="000A63A7"/>
    <w:rsid w:val="000A78AF"/>
    <w:rsid w:val="000B5914"/>
    <w:rsid w:val="000C0102"/>
    <w:rsid w:val="000C1825"/>
    <w:rsid w:val="000C2C90"/>
    <w:rsid w:val="000C3DF5"/>
    <w:rsid w:val="000D20D4"/>
    <w:rsid w:val="000E4882"/>
    <w:rsid w:val="000E7E92"/>
    <w:rsid w:val="000F108C"/>
    <w:rsid w:val="000F5C61"/>
    <w:rsid w:val="00100A72"/>
    <w:rsid w:val="00101263"/>
    <w:rsid w:val="0011277D"/>
    <w:rsid w:val="00117F79"/>
    <w:rsid w:val="00131FDC"/>
    <w:rsid w:val="00140CF4"/>
    <w:rsid w:val="00144C9B"/>
    <w:rsid w:val="0015077E"/>
    <w:rsid w:val="00165237"/>
    <w:rsid w:val="00167343"/>
    <w:rsid w:val="00171F9E"/>
    <w:rsid w:val="00175058"/>
    <w:rsid w:val="00176BAF"/>
    <w:rsid w:val="0018204C"/>
    <w:rsid w:val="0018475D"/>
    <w:rsid w:val="0018482C"/>
    <w:rsid w:val="00196F96"/>
    <w:rsid w:val="001A2BFC"/>
    <w:rsid w:val="001A33CF"/>
    <w:rsid w:val="001A4157"/>
    <w:rsid w:val="001B0050"/>
    <w:rsid w:val="001B0D6E"/>
    <w:rsid w:val="001B0F7F"/>
    <w:rsid w:val="001B350D"/>
    <w:rsid w:val="001B6D8C"/>
    <w:rsid w:val="001B7511"/>
    <w:rsid w:val="001C2203"/>
    <w:rsid w:val="001C35C6"/>
    <w:rsid w:val="001C7EE9"/>
    <w:rsid w:val="001D23EE"/>
    <w:rsid w:val="001D6090"/>
    <w:rsid w:val="001D6E6B"/>
    <w:rsid w:val="001E1B0B"/>
    <w:rsid w:val="001E4A87"/>
    <w:rsid w:val="001E68AF"/>
    <w:rsid w:val="001E6996"/>
    <w:rsid w:val="001F117F"/>
    <w:rsid w:val="001F1E23"/>
    <w:rsid w:val="0020073D"/>
    <w:rsid w:val="0021104A"/>
    <w:rsid w:val="0021228E"/>
    <w:rsid w:val="00220C8B"/>
    <w:rsid w:val="00223F11"/>
    <w:rsid w:val="00227293"/>
    <w:rsid w:val="00231CA7"/>
    <w:rsid w:val="00244ED6"/>
    <w:rsid w:val="00245361"/>
    <w:rsid w:val="00251F91"/>
    <w:rsid w:val="0027157D"/>
    <w:rsid w:val="00290D2F"/>
    <w:rsid w:val="002941AD"/>
    <w:rsid w:val="00294E24"/>
    <w:rsid w:val="00294F25"/>
    <w:rsid w:val="00296080"/>
    <w:rsid w:val="002A30C3"/>
    <w:rsid w:val="002B108E"/>
    <w:rsid w:val="002B142E"/>
    <w:rsid w:val="002B25D9"/>
    <w:rsid w:val="002B6295"/>
    <w:rsid w:val="002C3D75"/>
    <w:rsid w:val="002C5C50"/>
    <w:rsid w:val="002C6636"/>
    <w:rsid w:val="002D673D"/>
    <w:rsid w:val="002D68A5"/>
    <w:rsid w:val="002E2243"/>
    <w:rsid w:val="002E229A"/>
    <w:rsid w:val="002E2505"/>
    <w:rsid w:val="002E34FA"/>
    <w:rsid w:val="002F26EF"/>
    <w:rsid w:val="002F4F22"/>
    <w:rsid w:val="002F728A"/>
    <w:rsid w:val="0030546B"/>
    <w:rsid w:val="00307B6F"/>
    <w:rsid w:val="003134B5"/>
    <w:rsid w:val="00314816"/>
    <w:rsid w:val="00320B41"/>
    <w:rsid w:val="00321B03"/>
    <w:rsid w:val="00325E57"/>
    <w:rsid w:val="00331A08"/>
    <w:rsid w:val="00340212"/>
    <w:rsid w:val="0034482F"/>
    <w:rsid w:val="00345EFF"/>
    <w:rsid w:val="00356BAA"/>
    <w:rsid w:val="00362D4F"/>
    <w:rsid w:val="0037146C"/>
    <w:rsid w:val="00374AFC"/>
    <w:rsid w:val="0038143A"/>
    <w:rsid w:val="00386A04"/>
    <w:rsid w:val="00391F7D"/>
    <w:rsid w:val="00393480"/>
    <w:rsid w:val="00393FC3"/>
    <w:rsid w:val="00395571"/>
    <w:rsid w:val="00397E6A"/>
    <w:rsid w:val="003A0AD2"/>
    <w:rsid w:val="003A2F23"/>
    <w:rsid w:val="003A62EC"/>
    <w:rsid w:val="003B0E9B"/>
    <w:rsid w:val="003B4352"/>
    <w:rsid w:val="003B4F10"/>
    <w:rsid w:val="003B699B"/>
    <w:rsid w:val="003C0A26"/>
    <w:rsid w:val="003C319A"/>
    <w:rsid w:val="003C6B21"/>
    <w:rsid w:val="003D2C91"/>
    <w:rsid w:val="003D2C93"/>
    <w:rsid w:val="003D2EF6"/>
    <w:rsid w:val="003D33B8"/>
    <w:rsid w:val="003D53F6"/>
    <w:rsid w:val="003E0AF3"/>
    <w:rsid w:val="003E2165"/>
    <w:rsid w:val="003E27CA"/>
    <w:rsid w:val="003E62D0"/>
    <w:rsid w:val="003E7F69"/>
    <w:rsid w:val="003F06D7"/>
    <w:rsid w:val="003F16A8"/>
    <w:rsid w:val="00401738"/>
    <w:rsid w:val="00401DEE"/>
    <w:rsid w:val="00406235"/>
    <w:rsid w:val="00406CB7"/>
    <w:rsid w:val="00410CD0"/>
    <w:rsid w:val="00413EC3"/>
    <w:rsid w:val="00414226"/>
    <w:rsid w:val="004212F0"/>
    <w:rsid w:val="00423A25"/>
    <w:rsid w:val="00430463"/>
    <w:rsid w:val="00431381"/>
    <w:rsid w:val="0043259A"/>
    <w:rsid w:val="004354D8"/>
    <w:rsid w:val="00437E34"/>
    <w:rsid w:val="0044302E"/>
    <w:rsid w:val="00444B4F"/>
    <w:rsid w:val="00446B9C"/>
    <w:rsid w:val="004478DF"/>
    <w:rsid w:val="00450B09"/>
    <w:rsid w:val="00451D9F"/>
    <w:rsid w:val="00452341"/>
    <w:rsid w:val="004558A4"/>
    <w:rsid w:val="004572C4"/>
    <w:rsid w:val="00465D95"/>
    <w:rsid w:val="004756B2"/>
    <w:rsid w:val="00476FA3"/>
    <w:rsid w:val="004773ED"/>
    <w:rsid w:val="00483014"/>
    <w:rsid w:val="004838CB"/>
    <w:rsid w:val="004A169E"/>
    <w:rsid w:val="004A3057"/>
    <w:rsid w:val="004A3A68"/>
    <w:rsid w:val="004A7F44"/>
    <w:rsid w:val="004B20B5"/>
    <w:rsid w:val="004B2566"/>
    <w:rsid w:val="004B3E3A"/>
    <w:rsid w:val="004B4234"/>
    <w:rsid w:val="004C17E9"/>
    <w:rsid w:val="004C3647"/>
    <w:rsid w:val="004C4C75"/>
    <w:rsid w:val="004D0D04"/>
    <w:rsid w:val="004D7466"/>
    <w:rsid w:val="004E00E2"/>
    <w:rsid w:val="004E15AB"/>
    <w:rsid w:val="004E4A8F"/>
    <w:rsid w:val="004E550E"/>
    <w:rsid w:val="004E660D"/>
    <w:rsid w:val="004F3D4A"/>
    <w:rsid w:val="004F7E28"/>
    <w:rsid w:val="00517EAA"/>
    <w:rsid w:val="00526AE1"/>
    <w:rsid w:val="00535572"/>
    <w:rsid w:val="00536AC0"/>
    <w:rsid w:val="005410BA"/>
    <w:rsid w:val="005432FC"/>
    <w:rsid w:val="00552EFB"/>
    <w:rsid w:val="00555BE7"/>
    <w:rsid w:val="0056168B"/>
    <w:rsid w:val="00563B5D"/>
    <w:rsid w:val="0056542D"/>
    <w:rsid w:val="0056678B"/>
    <w:rsid w:val="0057110F"/>
    <w:rsid w:val="005739A0"/>
    <w:rsid w:val="0057469E"/>
    <w:rsid w:val="005830A3"/>
    <w:rsid w:val="00585051"/>
    <w:rsid w:val="005853E4"/>
    <w:rsid w:val="00587746"/>
    <w:rsid w:val="00587ED9"/>
    <w:rsid w:val="0059329D"/>
    <w:rsid w:val="0059579E"/>
    <w:rsid w:val="005966B9"/>
    <w:rsid w:val="005A7248"/>
    <w:rsid w:val="005B1742"/>
    <w:rsid w:val="005C1F92"/>
    <w:rsid w:val="005D6F38"/>
    <w:rsid w:val="005D753D"/>
    <w:rsid w:val="005E033A"/>
    <w:rsid w:val="005E646B"/>
    <w:rsid w:val="005F0222"/>
    <w:rsid w:val="005F1A6B"/>
    <w:rsid w:val="00600DBF"/>
    <w:rsid w:val="006025DE"/>
    <w:rsid w:val="00606952"/>
    <w:rsid w:val="00617D8E"/>
    <w:rsid w:val="00624114"/>
    <w:rsid w:val="0063628C"/>
    <w:rsid w:val="00640306"/>
    <w:rsid w:val="00641584"/>
    <w:rsid w:val="0064368B"/>
    <w:rsid w:val="00644B23"/>
    <w:rsid w:val="00645D61"/>
    <w:rsid w:val="00653B2E"/>
    <w:rsid w:val="00654FB5"/>
    <w:rsid w:val="006569AC"/>
    <w:rsid w:val="00660D2D"/>
    <w:rsid w:val="006614F7"/>
    <w:rsid w:val="00661AD0"/>
    <w:rsid w:val="00662F4D"/>
    <w:rsid w:val="006718DD"/>
    <w:rsid w:val="0067245C"/>
    <w:rsid w:val="00672EFE"/>
    <w:rsid w:val="00673C1A"/>
    <w:rsid w:val="00681971"/>
    <w:rsid w:val="00683A77"/>
    <w:rsid w:val="006847C5"/>
    <w:rsid w:val="0068504D"/>
    <w:rsid w:val="00690862"/>
    <w:rsid w:val="00694632"/>
    <w:rsid w:val="006947E7"/>
    <w:rsid w:val="006952C9"/>
    <w:rsid w:val="00695648"/>
    <w:rsid w:val="006A197C"/>
    <w:rsid w:val="006A23F7"/>
    <w:rsid w:val="006B15E6"/>
    <w:rsid w:val="006B359E"/>
    <w:rsid w:val="006B4D59"/>
    <w:rsid w:val="006B552F"/>
    <w:rsid w:val="006B6E0B"/>
    <w:rsid w:val="006C00F9"/>
    <w:rsid w:val="006D25CD"/>
    <w:rsid w:val="006D3964"/>
    <w:rsid w:val="006D3EBA"/>
    <w:rsid w:val="006E6DF2"/>
    <w:rsid w:val="0071752B"/>
    <w:rsid w:val="00717F4F"/>
    <w:rsid w:val="00720502"/>
    <w:rsid w:val="0072100C"/>
    <w:rsid w:val="00721C29"/>
    <w:rsid w:val="00722351"/>
    <w:rsid w:val="00732189"/>
    <w:rsid w:val="00734E17"/>
    <w:rsid w:val="007439A8"/>
    <w:rsid w:val="007440ED"/>
    <w:rsid w:val="00751A34"/>
    <w:rsid w:val="00752D54"/>
    <w:rsid w:val="00754092"/>
    <w:rsid w:val="00757F8A"/>
    <w:rsid w:val="007606B1"/>
    <w:rsid w:val="00760D85"/>
    <w:rsid w:val="007635BA"/>
    <w:rsid w:val="007668C3"/>
    <w:rsid w:val="00767860"/>
    <w:rsid w:val="00776E79"/>
    <w:rsid w:val="007811A1"/>
    <w:rsid w:val="00790FA0"/>
    <w:rsid w:val="00794096"/>
    <w:rsid w:val="00795A0D"/>
    <w:rsid w:val="007A361D"/>
    <w:rsid w:val="007A3ED9"/>
    <w:rsid w:val="007A42F6"/>
    <w:rsid w:val="007B2C9C"/>
    <w:rsid w:val="007D6FCB"/>
    <w:rsid w:val="007E7CC0"/>
    <w:rsid w:val="007F2ABE"/>
    <w:rsid w:val="007F3A35"/>
    <w:rsid w:val="007F7E6E"/>
    <w:rsid w:val="008006B1"/>
    <w:rsid w:val="00801AD4"/>
    <w:rsid w:val="008027AF"/>
    <w:rsid w:val="00807E85"/>
    <w:rsid w:val="0081124A"/>
    <w:rsid w:val="00814676"/>
    <w:rsid w:val="00815454"/>
    <w:rsid w:val="00822E26"/>
    <w:rsid w:val="00823B63"/>
    <w:rsid w:val="00826CD6"/>
    <w:rsid w:val="00830049"/>
    <w:rsid w:val="0083444F"/>
    <w:rsid w:val="00844622"/>
    <w:rsid w:val="0084467D"/>
    <w:rsid w:val="00846AF3"/>
    <w:rsid w:val="00851BD8"/>
    <w:rsid w:val="00853089"/>
    <w:rsid w:val="00857E35"/>
    <w:rsid w:val="0086095F"/>
    <w:rsid w:val="00861FD7"/>
    <w:rsid w:val="008629DA"/>
    <w:rsid w:val="008638C4"/>
    <w:rsid w:val="008644E9"/>
    <w:rsid w:val="0086786D"/>
    <w:rsid w:val="00867DB8"/>
    <w:rsid w:val="00871086"/>
    <w:rsid w:val="0087579B"/>
    <w:rsid w:val="00882B9B"/>
    <w:rsid w:val="00882ED3"/>
    <w:rsid w:val="00890134"/>
    <w:rsid w:val="00892A11"/>
    <w:rsid w:val="008A0751"/>
    <w:rsid w:val="008A1042"/>
    <w:rsid w:val="008A74C3"/>
    <w:rsid w:val="008B0AB1"/>
    <w:rsid w:val="008C2124"/>
    <w:rsid w:val="008C49C0"/>
    <w:rsid w:val="008C5D7D"/>
    <w:rsid w:val="008C647E"/>
    <w:rsid w:val="008D34E7"/>
    <w:rsid w:val="008F08D3"/>
    <w:rsid w:val="008F32A4"/>
    <w:rsid w:val="00906DAE"/>
    <w:rsid w:val="00913E43"/>
    <w:rsid w:val="009249D5"/>
    <w:rsid w:val="00927134"/>
    <w:rsid w:val="00932D5B"/>
    <w:rsid w:val="00943E8E"/>
    <w:rsid w:val="00946E91"/>
    <w:rsid w:val="00947559"/>
    <w:rsid w:val="00960879"/>
    <w:rsid w:val="00965A37"/>
    <w:rsid w:val="00965F21"/>
    <w:rsid w:val="00967FCB"/>
    <w:rsid w:val="00971B5F"/>
    <w:rsid w:val="00972E28"/>
    <w:rsid w:val="009752CE"/>
    <w:rsid w:val="00975F53"/>
    <w:rsid w:val="00981C80"/>
    <w:rsid w:val="00984E39"/>
    <w:rsid w:val="009853D9"/>
    <w:rsid w:val="00985C81"/>
    <w:rsid w:val="0099528F"/>
    <w:rsid w:val="0099579D"/>
    <w:rsid w:val="009A5FD2"/>
    <w:rsid w:val="009A78E1"/>
    <w:rsid w:val="009B2CA0"/>
    <w:rsid w:val="009D19F9"/>
    <w:rsid w:val="009D5ACB"/>
    <w:rsid w:val="009E3475"/>
    <w:rsid w:val="009E3CC2"/>
    <w:rsid w:val="009E4187"/>
    <w:rsid w:val="009E553B"/>
    <w:rsid w:val="009E5C33"/>
    <w:rsid w:val="009E5D1F"/>
    <w:rsid w:val="009F72AC"/>
    <w:rsid w:val="00A0343F"/>
    <w:rsid w:val="00A16F6F"/>
    <w:rsid w:val="00A17146"/>
    <w:rsid w:val="00A214B8"/>
    <w:rsid w:val="00A24294"/>
    <w:rsid w:val="00A248F1"/>
    <w:rsid w:val="00A26F43"/>
    <w:rsid w:val="00A3274C"/>
    <w:rsid w:val="00A36A72"/>
    <w:rsid w:val="00A42DD7"/>
    <w:rsid w:val="00A535D8"/>
    <w:rsid w:val="00A6428E"/>
    <w:rsid w:val="00A715DE"/>
    <w:rsid w:val="00A7347A"/>
    <w:rsid w:val="00A803EC"/>
    <w:rsid w:val="00A84099"/>
    <w:rsid w:val="00A94AEF"/>
    <w:rsid w:val="00A96F67"/>
    <w:rsid w:val="00AA15E9"/>
    <w:rsid w:val="00AA22A0"/>
    <w:rsid w:val="00AB4879"/>
    <w:rsid w:val="00AB512D"/>
    <w:rsid w:val="00AB626B"/>
    <w:rsid w:val="00AB763E"/>
    <w:rsid w:val="00AC0152"/>
    <w:rsid w:val="00AC08C3"/>
    <w:rsid w:val="00AC5371"/>
    <w:rsid w:val="00AC5444"/>
    <w:rsid w:val="00AD47F3"/>
    <w:rsid w:val="00AE4E67"/>
    <w:rsid w:val="00AF058A"/>
    <w:rsid w:val="00AF3EBE"/>
    <w:rsid w:val="00B01B1A"/>
    <w:rsid w:val="00B04603"/>
    <w:rsid w:val="00B059DA"/>
    <w:rsid w:val="00B1308B"/>
    <w:rsid w:val="00B1357A"/>
    <w:rsid w:val="00B220F0"/>
    <w:rsid w:val="00B26F44"/>
    <w:rsid w:val="00B31563"/>
    <w:rsid w:val="00B342D7"/>
    <w:rsid w:val="00B36C22"/>
    <w:rsid w:val="00B40EDF"/>
    <w:rsid w:val="00B42C52"/>
    <w:rsid w:val="00B44A04"/>
    <w:rsid w:val="00B46195"/>
    <w:rsid w:val="00B522AC"/>
    <w:rsid w:val="00B55C78"/>
    <w:rsid w:val="00B63FA3"/>
    <w:rsid w:val="00B655FA"/>
    <w:rsid w:val="00B65A2D"/>
    <w:rsid w:val="00B65E52"/>
    <w:rsid w:val="00B72016"/>
    <w:rsid w:val="00B738A6"/>
    <w:rsid w:val="00B80B18"/>
    <w:rsid w:val="00B80E31"/>
    <w:rsid w:val="00B86587"/>
    <w:rsid w:val="00B91511"/>
    <w:rsid w:val="00B9190C"/>
    <w:rsid w:val="00BA2317"/>
    <w:rsid w:val="00BA340A"/>
    <w:rsid w:val="00BA5B6F"/>
    <w:rsid w:val="00BB380F"/>
    <w:rsid w:val="00BB689C"/>
    <w:rsid w:val="00BB714B"/>
    <w:rsid w:val="00BB75AD"/>
    <w:rsid w:val="00BB7907"/>
    <w:rsid w:val="00BD5495"/>
    <w:rsid w:val="00BD5685"/>
    <w:rsid w:val="00BD5B61"/>
    <w:rsid w:val="00BD7042"/>
    <w:rsid w:val="00BE1FAA"/>
    <w:rsid w:val="00BE359D"/>
    <w:rsid w:val="00BE5FC0"/>
    <w:rsid w:val="00BF0355"/>
    <w:rsid w:val="00BF23E5"/>
    <w:rsid w:val="00BF4B9D"/>
    <w:rsid w:val="00BF67C9"/>
    <w:rsid w:val="00C0198E"/>
    <w:rsid w:val="00C070EC"/>
    <w:rsid w:val="00C1219D"/>
    <w:rsid w:val="00C12D70"/>
    <w:rsid w:val="00C148F0"/>
    <w:rsid w:val="00C30471"/>
    <w:rsid w:val="00C30877"/>
    <w:rsid w:val="00C312D8"/>
    <w:rsid w:val="00C3531B"/>
    <w:rsid w:val="00C41B4B"/>
    <w:rsid w:val="00C45441"/>
    <w:rsid w:val="00C55874"/>
    <w:rsid w:val="00C55E20"/>
    <w:rsid w:val="00C56993"/>
    <w:rsid w:val="00C628AC"/>
    <w:rsid w:val="00C640C5"/>
    <w:rsid w:val="00C730EC"/>
    <w:rsid w:val="00C74B08"/>
    <w:rsid w:val="00C77937"/>
    <w:rsid w:val="00C82013"/>
    <w:rsid w:val="00C82387"/>
    <w:rsid w:val="00C83483"/>
    <w:rsid w:val="00CA35E9"/>
    <w:rsid w:val="00CA5793"/>
    <w:rsid w:val="00CB77A4"/>
    <w:rsid w:val="00CB7D2F"/>
    <w:rsid w:val="00CC037C"/>
    <w:rsid w:val="00CC6E14"/>
    <w:rsid w:val="00CD00D3"/>
    <w:rsid w:val="00CD469F"/>
    <w:rsid w:val="00CD5782"/>
    <w:rsid w:val="00CD74C7"/>
    <w:rsid w:val="00CD799E"/>
    <w:rsid w:val="00CE3E22"/>
    <w:rsid w:val="00CF4B6A"/>
    <w:rsid w:val="00D05D85"/>
    <w:rsid w:val="00D1569E"/>
    <w:rsid w:val="00D172D8"/>
    <w:rsid w:val="00D17384"/>
    <w:rsid w:val="00D312EF"/>
    <w:rsid w:val="00D40A7C"/>
    <w:rsid w:val="00D40A9B"/>
    <w:rsid w:val="00D421E3"/>
    <w:rsid w:val="00D426A7"/>
    <w:rsid w:val="00D46FA9"/>
    <w:rsid w:val="00D573C5"/>
    <w:rsid w:val="00D63464"/>
    <w:rsid w:val="00D63D92"/>
    <w:rsid w:val="00D806BF"/>
    <w:rsid w:val="00D8519D"/>
    <w:rsid w:val="00D87791"/>
    <w:rsid w:val="00D931D4"/>
    <w:rsid w:val="00D96A5A"/>
    <w:rsid w:val="00D974CE"/>
    <w:rsid w:val="00DA7CEE"/>
    <w:rsid w:val="00DB1751"/>
    <w:rsid w:val="00DB17F3"/>
    <w:rsid w:val="00DB5AD9"/>
    <w:rsid w:val="00DB6B13"/>
    <w:rsid w:val="00DB6F7D"/>
    <w:rsid w:val="00DB7B2E"/>
    <w:rsid w:val="00DC168A"/>
    <w:rsid w:val="00DC381A"/>
    <w:rsid w:val="00DC61CC"/>
    <w:rsid w:val="00DD0A61"/>
    <w:rsid w:val="00DD0C69"/>
    <w:rsid w:val="00DD1233"/>
    <w:rsid w:val="00DD226C"/>
    <w:rsid w:val="00DD7264"/>
    <w:rsid w:val="00DE5021"/>
    <w:rsid w:val="00DE6C94"/>
    <w:rsid w:val="00DF1858"/>
    <w:rsid w:val="00DF3DB4"/>
    <w:rsid w:val="00DF73FD"/>
    <w:rsid w:val="00DF7C67"/>
    <w:rsid w:val="00E0420B"/>
    <w:rsid w:val="00E04AF8"/>
    <w:rsid w:val="00E1140F"/>
    <w:rsid w:val="00E233F8"/>
    <w:rsid w:val="00E236D6"/>
    <w:rsid w:val="00E2775F"/>
    <w:rsid w:val="00E3210C"/>
    <w:rsid w:val="00E34394"/>
    <w:rsid w:val="00E37F42"/>
    <w:rsid w:val="00E4138C"/>
    <w:rsid w:val="00E41468"/>
    <w:rsid w:val="00E44641"/>
    <w:rsid w:val="00E44DA6"/>
    <w:rsid w:val="00E47C46"/>
    <w:rsid w:val="00E5315A"/>
    <w:rsid w:val="00E63EB2"/>
    <w:rsid w:val="00E6401C"/>
    <w:rsid w:val="00E71CAB"/>
    <w:rsid w:val="00E73595"/>
    <w:rsid w:val="00E75280"/>
    <w:rsid w:val="00E812C5"/>
    <w:rsid w:val="00E86BBA"/>
    <w:rsid w:val="00E87CC5"/>
    <w:rsid w:val="00E91AC9"/>
    <w:rsid w:val="00E93E48"/>
    <w:rsid w:val="00E93ED7"/>
    <w:rsid w:val="00E95F79"/>
    <w:rsid w:val="00EB0C77"/>
    <w:rsid w:val="00EB6118"/>
    <w:rsid w:val="00EB7400"/>
    <w:rsid w:val="00EC065A"/>
    <w:rsid w:val="00EC46F8"/>
    <w:rsid w:val="00ED038C"/>
    <w:rsid w:val="00ED340E"/>
    <w:rsid w:val="00ED4F9C"/>
    <w:rsid w:val="00ED668B"/>
    <w:rsid w:val="00EE42CD"/>
    <w:rsid w:val="00EE4E9C"/>
    <w:rsid w:val="00EE4F3A"/>
    <w:rsid w:val="00EE6110"/>
    <w:rsid w:val="00EF3F26"/>
    <w:rsid w:val="00EF40E8"/>
    <w:rsid w:val="00EF4F84"/>
    <w:rsid w:val="00EF7FF0"/>
    <w:rsid w:val="00F011A0"/>
    <w:rsid w:val="00F01907"/>
    <w:rsid w:val="00F02B16"/>
    <w:rsid w:val="00F05C12"/>
    <w:rsid w:val="00F05D84"/>
    <w:rsid w:val="00F0654F"/>
    <w:rsid w:val="00F13946"/>
    <w:rsid w:val="00F16BFC"/>
    <w:rsid w:val="00F24EE6"/>
    <w:rsid w:val="00F25CC1"/>
    <w:rsid w:val="00F27095"/>
    <w:rsid w:val="00F34770"/>
    <w:rsid w:val="00F35B95"/>
    <w:rsid w:val="00F43577"/>
    <w:rsid w:val="00F444C4"/>
    <w:rsid w:val="00F543E3"/>
    <w:rsid w:val="00F563F3"/>
    <w:rsid w:val="00F56D48"/>
    <w:rsid w:val="00F632F5"/>
    <w:rsid w:val="00F658B7"/>
    <w:rsid w:val="00F65BD3"/>
    <w:rsid w:val="00F71F43"/>
    <w:rsid w:val="00F81BBD"/>
    <w:rsid w:val="00F82145"/>
    <w:rsid w:val="00F84868"/>
    <w:rsid w:val="00F94D8B"/>
    <w:rsid w:val="00FA27A9"/>
    <w:rsid w:val="00FA28A8"/>
    <w:rsid w:val="00FA68E2"/>
    <w:rsid w:val="00FB125C"/>
    <w:rsid w:val="00FB32FA"/>
    <w:rsid w:val="00FB4918"/>
    <w:rsid w:val="00FB6CBE"/>
    <w:rsid w:val="00FC0DE1"/>
    <w:rsid w:val="00FC40C6"/>
    <w:rsid w:val="00FC68BC"/>
    <w:rsid w:val="00FC7017"/>
    <w:rsid w:val="00FD0471"/>
    <w:rsid w:val="00FD08EA"/>
    <w:rsid w:val="00FD3E76"/>
    <w:rsid w:val="00FE14A0"/>
    <w:rsid w:val="00FE3039"/>
    <w:rsid w:val="00FE637A"/>
    <w:rsid w:val="00FF1CA2"/>
    <w:rsid w:val="00FF3FE9"/>
    <w:rsid w:val="00FF61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299F2E-D1E0-46A4-95D6-2A6335D0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3ED7"/>
    <w:rPr>
      <w:sz w:val="24"/>
      <w:szCs w:val="24"/>
      <w:lang w:val="es-ES" w:eastAsia="es-ES"/>
    </w:rPr>
  </w:style>
  <w:style w:type="paragraph" w:styleId="Ttulo2">
    <w:name w:val="heading 2"/>
    <w:basedOn w:val="Normal"/>
    <w:next w:val="Normal"/>
    <w:link w:val="Ttulo2Car"/>
    <w:semiHidden/>
    <w:unhideWhenUsed/>
    <w:qFormat/>
    <w:rsid w:val="00A84099"/>
    <w:pPr>
      <w:keepNext/>
      <w:spacing w:before="240" w:after="60"/>
      <w:outlineLvl w:val="1"/>
    </w:pPr>
    <w:rPr>
      <w:rFonts w:ascii="Calibri Light" w:hAnsi="Calibri Light"/>
      <w:b/>
      <w:bCs/>
      <w:i/>
      <w:iCs/>
      <w:sz w:val="28"/>
      <w:szCs w:val="28"/>
    </w:rPr>
  </w:style>
  <w:style w:type="paragraph" w:styleId="Ttulo4">
    <w:name w:val="heading 4"/>
    <w:basedOn w:val="Normal"/>
    <w:next w:val="Normal"/>
    <w:qFormat/>
    <w:rsid w:val="00E93ED7"/>
    <w:pPr>
      <w:keepNext/>
      <w:tabs>
        <w:tab w:val="left" w:pos="709"/>
      </w:tabs>
      <w:spacing w:line="360" w:lineRule="auto"/>
      <w:ind w:right="51"/>
      <w:jc w:val="center"/>
      <w:outlineLvl w:val="3"/>
    </w:pPr>
    <w:rPr>
      <w:rFonts w:ascii="Arial" w:hAnsi="Arial"/>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3ED7"/>
    <w:pPr>
      <w:tabs>
        <w:tab w:val="center" w:pos="4252"/>
        <w:tab w:val="right" w:pos="8504"/>
      </w:tabs>
    </w:pPr>
  </w:style>
  <w:style w:type="paragraph" w:styleId="Piedepgina">
    <w:name w:val="footer"/>
    <w:basedOn w:val="Normal"/>
    <w:link w:val="PiedepginaCar"/>
    <w:uiPriority w:val="99"/>
    <w:rsid w:val="00E93ED7"/>
    <w:pPr>
      <w:tabs>
        <w:tab w:val="center" w:pos="4252"/>
        <w:tab w:val="right" w:pos="8504"/>
      </w:tabs>
    </w:pPr>
  </w:style>
  <w:style w:type="paragraph" w:customStyle="1" w:styleId="Epgrafe1">
    <w:name w:val="Epígrafe1"/>
    <w:basedOn w:val="Normal"/>
    <w:next w:val="Normal"/>
    <w:qFormat/>
    <w:rsid w:val="00E93ED7"/>
    <w:pPr>
      <w:overflowPunct w:val="0"/>
      <w:autoSpaceDE w:val="0"/>
      <w:autoSpaceDN w:val="0"/>
      <w:adjustRightInd w:val="0"/>
      <w:ind w:left="-851"/>
    </w:pPr>
    <w:rPr>
      <w:rFonts w:ascii="Arial" w:hAnsi="Arial"/>
      <w:b/>
      <w:sz w:val="18"/>
      <w:szCs w:val="20"/>
      <w:lang w:val="es-ES_tradnl"/>
    </w:rPr>
  </w:style>
  <w:style w:type="paragraph" w:styleId="Textodeglobo">
    <w:name w:val="Balloon Text"/>
    <w:basedOn w:val="Normal"/>
    <w:semiHidden/>
    <w:rsid w:val="00754092"/>
    <w:rPr>
      <w:rFonts w:ascii="Tahoma" w:hAnsi="Tahoma" w:cs="Tahoma"/>
      <w:sz w:val="16"/>
      <w:szCs w:val="16"/>
    </w:rPr>
  </w:style>
  <w:style w:type="paragraph" w:styleId="Textonotapie">
    <w:name w:val="footnote text"/>
    <w:aliases w:val="Footnote Text Char Char Char Char Char,Footnote Text Char Char Char Char,Footnote reference,FA Fu,Footnote Text Char Char Char,texto de nota al pie,texto de nota al pi"/>
    <w:basedOn w:val="Normal"/>
    <w:link w:val="TextonotapieCar"/>
    <w:rsid w:val="009E3475"/>
    <w:rPr>
      <w:sz w:val="20"/>
      <w:szCs w:val="20"/>
    </w:rPr>
  </w:style>
  <w:style w:type="character" w:styleId="Refdenotaalpie">
    <w:name w:val="footnote reference"/>
    <w:rsid w:val="009E3475"/>
    <w:rPr>
      <w:vertAlign w:val="superscript"/>
    </w:rPr>
  </w:style>
  <w:style w:type="paragraph" w:customStyle="1" w:styleId="Ttulo1">
    <w:name w:val="Título1"/>
    <w:basedOn w:val="Normal"/>
    <w:link w:val="TtuloCar"/>
    <w:qFormat/>
    <w:rsid w:val="00683A77"/>
    <w:pPr>
      <w:tabs>
        <w:tab w:val="center" w:pos="4418"/>
      </w:tabs>
      <w:suppressAutoHyphens/>
      <w:overflowPunct w:val="0"/>
      <w:autoSpaceDE w:val="0"/>
      <w:autoSpaceDN w:val="0"/>
      <w:adjustRightInd w:val="0"/>
      <w:spacing w:line="480" w:lineRule="auto"/>
      <w:jc w:val="center"/>
      <w:textAlignment w:val="baseline"/>
    </w:pPr>
    <w:rPr>
      <w:rFonts w:ascii="Arial" w:hAnsi="Arial"/>
      <w:b/>
      <w:spacing w:val="-3"/>
      <w:sz w:val="28"/>
      <w:szCs w:val="20"/>
      <w:lang w:val="es-ES_tradnl"/>
    </w:rPr>
  </w:style>
  <w:style w:type="character" w:customStyle="1" w:styleId="TtuloCar">
    <w:name w:val="Título Car"/>
    <w:link w:val="Ttulo1"/>
    <w:rsid w:val="00683A77"/>
    <w:rPr>
      <w:rFonts w:ascii="Arial" w:hAnsi="Arial"/>
      <w:b/>
      <w:spacing w:val="-3"/>
      <w:sz w:val="28"/>
      <w:lang w:val="es-ES_tradnl" w:eastAsia="es-ES"/>
    </w:rPr>
  </w:style>
  <w:style w:type="character" w:customStyle="1" w:styleId="Ttulo2Car">
    <w:name w:val="Título 2 Car"/>
    <w:link w:val="Ttulo2"/>
    <w:semiHidden/>
    <w:rsid w:val="00A84099"/>
    <w:rPr>
      <w:rFonts w:ascii="Calibri Light" w:eastAsia="Times New Roman" w:hAnsi="Calibri Light" w:cs="Times New Roman"/>
      <w:b/>
      <w:bCs/>
      <w:i/>
      <w:iCs/>
      <w:sz w:val="28"/>
      <w:szCs w:val="28"/>
      <w:lang w:val="es-ES" w:eastAsia="es-ES"/>
    </w:rPr>
  </w:style>
  <w:style w:type="paragraph" w:styleId="Textoindependiente">
    <w:name w:val="Body Text"/>
    <w:basedOn w:val="Normal"/>
    <w:link w:val="TextoindependienteCar"/>
    <w:rsid w:val="00A84099"/>
    <w:pPr>
      <w:spacing w:line="360" w:lineRule="auto"/>
      <w:jc w:val="both"/>
    </w:pPr>
    <w:rPr>
      <w:i/>
      <w:sz w:val="30"/>
      <w:szCs w:val="20"/>
      <w:lang w:val="x-none" w:eastAsia="x-none"/>
    </w:rPr>
  </w:style>
  <w:style w:type="character" w:customStyle="1" w:styleId="TextoindependienteCar">
    <w:name w:val="Texto independiente Car"/>
    <w:link w:val="Textoindependiente"/>
    <w:rsid w:val="00A84099"/>
    <w:rPr>
      <w:i/>
      <w:sz w:val="30"/>
      <w:lang w:val="x-none" w:eastAsia="x-none"/>
    </w:rPr>
  </w:style>
  <w:style w:type="paragraph" w:customStyle="1" w:styleId="CuerpoA">
    <w:name w:val="Cuerpo A"/>
    <w:rsid w:val="00414226"/>
    <w:pPr>
      <w:pBdr>
        <w:top w:val="nil"/>
        <w:left w:val="nil"/>
        <w:bottom w:val="nil"/>
        <w:right w:val="nil"/>
        <w:between w:val="nil"/>
        <w:bar w:val="nil"/>
      </w:pBdr>
      <w:spacing w:line="360" w:lineRule="auto"/>
      <w:jc w:val="center"/>
    </w:pPr>
    <w:rPr>
      <w:rFonts w:ascii="Bookman Old Style Bold" w:eastAsia="Arial Unicode MS" w:hAnsi="Arial Unicode MS" w:cs="Arial Unicode MS"/>
      <w:b/>
      <w:bCs/>
      <w:color w:val="000000"/>
      <w:sz w:val="28"/>
      <w:szCs w:val="28"/>
      <w:u w:color="000000"/>
      <w:bdr w:val="nil"/>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texto de nota al pi Car"/>
    <w:link w:val="Textonotapie"/>
    <w:rsid w:val="008644E9"/>
    <w:rPr>
      <w:lang w:val="es-ES" w:eastAsia="es-ES"/>
    </w:rPr>
  </w:style>
  <w:style w:type="character" w:customStyle="1" w:styleId="EncabezadoCar">
    <w:name w:val="Encabezado Car"/>
    <w:basedOn w:val="Fuentedeprrafopredeter"/>
    <w:link w:val="Encabezado"/>
    <w:uiPriority w:val="99"/>
    <w:rsid w:val="00F82145"/>
    <w:rPr>
      <w:sz w:val="24"/>
      <w:szCs w:val="24"/>
      <w:lang w:val="es-ES" w:eastAsia="es-ES"/>
    </w:rPr>
  </w:style>
  <w:style w:type="paragraph" w:styleId="Prrafodelista">
    <w:name w:val="List Paragraph"/>
    <w:basedOn w:val="Normal"/>
    <w:uiPriority w:val="34"/>
    <w:qFormat/>
    <w:rsid w:val="00F82145"/>
    <w:pPr>
      <w:ind w:left="720"/>
      <w:contextualSpacing/>
    </w:pPr>
  </w:style>
  <w:style w:type="character" w:customStyle="1" w:styleId="PiedepginaCar">
    <w:name w:val="Pie de página Car"/>
    <w:basedOn w:val="Fuentedeprrafopredeter"/>
    <w:link w:val="Piedepgina"/>
    <w:uiPriority w:val="99"/>
    <w:rsid w:val="00AB763E"/>
    <w:rPr>
      <w:sz w:val="24"/>
      <w:szCs w:val="24"/>
      <w:lang w:val="es-ES" w:eastAsia="es-ES"/>
    </w:rPr>
  </w:style>
  <w:style w:type="paragraph" w:styleId="Sangradetextonormal">
    <w:name w:val="Body Text Indent"/>
    <w:basedOn w:val="Normal"/>
    <w:link w:val="SangradetextonormalCar"/>
    <w:semiHidden/>
    <w:unhideWhenUsed/>
    <w:rsid w:val="005D753D"/>
    <w:pPr>
      <w:spacing w:after="120"/>
      <w:ind w:left="283"/>
    </w:pPr>
  </w:style>
  <w:style w:type="character" w:customStyle="1" w:styleId="SangradetextonormalCar">
    <w:name w:val="Sangría de texto normal Car"/>
    <w:basedOn w:val="Fuentedeprrafopredeter"/>
    <w:link w:val="Sangradetextonormal"/>
    <w:semiHidden/>
    <w:rsid w:val="005D753D"/>
    <w:rPr>
      <w:sz w:val="24"/>
      <w:szCs w:val="24"/>
      <w:lang w:val="es-ES" w:eastAsia="es-ES"/>
    </w:rPr>
  </w:style>
  <w:style w:type="paragraph" w:styleId="Sinespaciado">
    <w:name w:val="No Spacing"/>
    <w:uiPriority w:val="1"/>
    <w:qFormat/>
    <w:rsid w:val="005D753D"/>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307049">
      <w:bodyDiv w:val="1"/>
      <w:marLeft w:val="0"/>
      <w:marRight w:val="0"/>
      <w:marTop w:val="0"/>
      <w:marBottom w:val="0"/>
      <w:divBdr>
        <w:top w:val="none" w:sz="0" w:space="0" w:color="auto"/>
        <w:left w:val="none" w:sz="0" w:space="0" w:color="auto"/>
        <w:bottom w:val="none" w:sz="0" w:space="0" w:color="auto"/>
        <w:right w:val="none" w:sz="0" w:space="0" w:color="auto"/>
      </w:divBdr>
    </w:div>
    <w:div w:id="1848055457">
      <w:bodyDiv w:val="1"/>
      <w:marLeft w:val="0"/>
      <w:marRight w:val="0"/>
      <w:marTop w:val="0"/>
      <w:marBottom w:val="0"/>
      <w:divBdr>
        <w:top w:val="none" w:sz="0" w:space="0" w:color="auto"/>
        <w:left w:val="none" w:sz="0" w:space="0" w:color="auto"/>
        <w:bottom w:val="none" w:sz="0" w:space="0" w:color="auto"/>
        <w:right w:val="none" w:sz="0" w:space="0" w:color="auto"/>
      </w:divBdr>
    </w:div>
    <w:div w:id="197397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B607-400A-4E5D-A3D5-4458BC54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2032</Words>
  <Characters>11180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CORTE SUPREMA DE JUSTICIA</vt:lpstr>
    </vt:vector>
  </TitlesOfParts>
  <Company>CSJ</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subject/>
  <dc:creator>Luz Helena Hernandez Angel</dc:creator>
  <cp:keywords/>
  <cp:lastModifiedBy>Andres Pollo</cp:lastModifiedBy>
  <cp:revision>2</cp:revision>
  <cp:lastPrinted>2018-02-01T19:49:00Z</cp:lastPrinted>
  <dcterms:created xsi:type="dcterms:W3CDTF">2018-06-10T18:11:00Z</dcterms:created>
  <dcterms:modified xsi:type="dcterms:W3CDTF">2018-06-10T18:11:00Z</dcterms:modified>
</cp:coreProperties>
</file>