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DD1" w:rsidRPr="00BA08C9" w:rsidRDefault="00911DD1" w:rsidP="00911DD1">
      <w:pPr>
        <w:spacing w:after="0" w:line="360" w:lineRule="auto"/>
        <w:ind w:firstLine="709"/>
        <w:jc w:val="center"/>
        <w:rPr>
          <w:rFonts w:ascii="Bookman Old Style" w:eastAsia="Times New Roman" w:hAnsi="Bookman Old Style" w:cs="Times New Roman"/>
          <w:b/>
          <w:sz w:val="28"/>
          <w:szCs w:val="28"/>
          <w:lang w:val="es-ES_tradnl" w:eastAsia="es-ES"/>
        </w:rPr>
      </w:pPr>
      <w:bookmarkStart w:id="0" w:name="_GoBack"/>
      <w:bookmarkEnd w:id="0"/>
      <w:r w:rsidRPr="00BA08C9">
        <w:rPr>
          <w:rFonts w:ascii="Bookman Old Style" w:eastAsia="Times New Roman" w:hAnsi="Bookman Old Style" w:cs="Times New Roman"/>
          <w:b/>
          <w:sz w:val="28"/>
          <w:szCs w:val="28"/>
          <w:lang w:val="es-ES_tradnl" w:eastAsia="es-ES"/>
        </w:rPr>
        <w:t>CORTE SUPREMA DE JUSTICIA</w:t>
      </w:r>
    </w:p>
    <w:p w:rsidR="00911DD1" w:rsidRPr="00BA08C9" w:rsidRDefault="00911DD1" w:rsidP="00911DD1">
      <w:pPr>
        <w:spacing w:after="0" w:line="360" w:lineRule="auto"/>
        <w:ind w:firstLine="709"/>
        <w:jc w:val="center"/>
        <w:rPr>
          <w:rFonts w:ascii="Bookman Old Style" w:eastAsia="Times New Roman" w:hAnsi="Bookman Old Style" w:cs="Times New Roman"/>
          <w:b/>
          <w:sz w:val="28"/>
          <w:szCs w:val="28"/>
          <w:lang w:val="es-ES_tradnl" w:eastAsia="es-ES"/>
        </w:rPr>
      </w:pPr>
      <w:r w:rsidRPr="00BA08C9">
        <w:rPr>
          <w:rFonts w:ascii="Bookman Old Style" w:eastAsia="Times New Roman" w:hAnsi="Bookman Old Style" w:cs="Times New Roman"/>
          <w:b/>
          <w:sz w:val="28"/>
          <w:szCs w:val="28"/>
          <w:lang w:val="es-ES_tradnl" w:eastAsia="es-ES"/>
        </w:rPr>
        <w:t>SALA DE CASACIÓN PENAL</w:t>
      </w:r>
    </w:p>
    <w:p w:rsidR="00911DD1" w:rsidRPr="00BA08C9" w:rsidRDefault="00911DD1" w:rsidP="00911DD1">
      <w:pPr>
        <w:spacing w:after="0" w:line="360" w:lineRule="auto"/>
        <w:ind w:firstLine="709"/>
        <w:jc w:val="center"/>
        <w:rPr>
          <w:rFonts w:ascii="Bookman Old Style" w:eastAsia="Times New Roman" w:hAnsi="Bookman Old Style" w:cs="Arial"/>
          <w:b/>
          <w:sz w:val="28"/>
          <w:szCs w:val="28"/>
          <w:lang w:eastAsia="es-ES"/>
        </w:rPr>
      </w:pPr>
    </w:p>
    <w:p w:rsidR="00911DD1" w:rsidRPr="00BA08C9" w:rsidRDefault="00911DD1" w:rsidP="00911DD1">
      <w:pPr>
        <w:spacing w:after="0" w:line="360" w:lineRule="auto"/>
        <w:ind w:firstLine="709"/>
        <w:jc w:val="center"/>
        <w:rPr>
          <w:rFonts w:ascii="Bookman Old Style" w:eastAsia="Times New Roman" w:hAnsi="Bookman Old Style" w:cs="Arial"/>
          <w:b/>
          <w:sz w:val="28"/>
          <w:szCs w:val="28"/>
          <w:lang w:eastAsia="es-ES"/>
        </w:rPr>
      </w:pPr>
    </w:p>
    <w:p w:rsidR="00911DD1" w:rsidRPr="00BA08C9" w:rsidRDefault="00911DD1" w:rsidP="00911DD1">
      <w:pPr>
        <w:spacing w:after="0" w:line="360" w:lineRule="auto"/>
        <w:ind w:firstLine="709"/>
        <w:jc w:val="center"/>
        <w:rPr>
          <w:rFonts w:ascii="Bookman Old Style" w:eastAsia="Times New Roman" w:hAnsi="Bookman Old Style" w:cs="Arial"/>
          <w:b/>
          <w:sz w:val="28"/>
          <w:szCs w:val="28"/>
          <w:lang w:eastAsia="es-ES"/>
        </w:rPr>
      </w:pPr>
      <w:r w:rsidRPr="00BA08C9">
        <w:rPr>
          <w:rFonts w:ascii="Bookman Old Style" w:eastAsia="Times New Roman" w:hAnsi="Bookman Old Style" w:cs="Arial"/>
          <w:b/>
          <w:sz w:val="28"/>
          <w:szCs w:val="28"/>
          <w:lang w:eastAsia="es-ES"/>
        </w:rPr>
        <w:t xml:space="preserve">JOSÉ LUIS BARCELÓ CAMACHO </w:t>
      </w:r>
    </w:p>
    <w:p w:rsidR="00911DD1" w:rsidRPr="00BA08C9" w:rsidRDefault="00911DD1" w:rsidP="00911DD1">
      <w:pPr>
        <w:spacing w:after="0" w:line="360" w:lineRule="auto"/>
        <w:ind w:firstLine="709"/>
        <w:jc w:val="center"/>
        <w:rPr>
          <w:rFonts w:ascii="Bookman Old Style" w:eastAsia="Times New Roman" w:hAnsi="Bookman Old Style" w:cs="Arial"/>
          <w:b/>
          <w:sz w:val="28"/>
          <w:szCs w:val="28"/>
          <w:lang w:eastAsia="es-ES"/>
        </w:rPr>
      </w:pPr>
      <w:r w:rsidRPr="00BA08C9">
        <w:rPr>
          <w:rFonts w:ascii="Bookman Old Style" w:eastAsia="Times New Roman" w:hAnsi="Bookman Old Style" w:cs="Arial"/>
          <w:b/>
          <w:sz w:val="28"/>
          <w:szCs w:val="28"/>
          <w:lang w:eastAsia="es-ES"/>
        </w:rPr>
        <w:t>Magistrado ponente</w:t>
      </w:r>
    </w:p>
    <w:p w:rsidR="00911DD1" w:rsidRPr="00BA08C9" w:rsidRDefault="00911DD1" w:rsidP="00911DD1">
      <w:pPr>
        <w:spacing w:after="0" w:line="360" w:lineRule="auto"/>
        <w:ind w:firstLine="709"/>
        <w:jc w:val="center"/>
        <w:rPr>
          <w:rFonts w:ascii="Bookman Old Style" w:eastAsia="Times New Roman" w:hAnsi="Bookman Old Style" w:cs="Arial"/>
          <w:b/>
          <w:sz w:val="28"/>
          <w:szCs w:val="28"/>
          <w:lang w:eastAsia="es-ES"/>
        </w:rPr>
      </w:pPr>
    </w:p>
    <w:p w:rsidR="00911DD1" w:rsidRPr="00BA08C9" w:rsidRDefault="00911DD1" w:rsidP="00911DD1">
      <w:pPr>
        <w:spacing w:after="0" w:line="360" w:lineRule="auto"/>
        <w:ind w:firstLine="709"/>
        <w:jc w:val="center"/>
        <w:rPr>
          <w:rFonts w:ascii="Bookman Old Style" w:eastAsia="Times New Roman" w:hAnsi="Bookman Old Style" w:cs="Arial"/>
          <w:b/>
          <w:sz w:val="28"/>
          <w:szCs w:val="28"/>
          <w:lang w:eastAsia="es-ES"/>
        </w:rPr>
      </w:pPr>
      <w:r w:rsidRPr="00185E54">
        <w:rPr>
          <w:rFonts w:ascii="Bookman Old Style" w:eastAsia="Times New Roman" w:hAnsi="Bookman Old Style" w:cs="Arial"/>
          <w:b/>
          <w:sz w:val="28"/>
          <w:szCs w:val="28"/>
          <w:lang w:eastAsia="es-ES"/>
        </w:rPr>
        <w:t>AP5140-2015</w:t>
      </w:r>
    </w:p>
    <w:p w:rsidR="00911DD1" w:rsidRPr="00BA08C9" w:rsidRDefault="00911DD1" w:rsidP="00911DD1">
      <w:pPr>
        <w:spacing w:after="0" w:line="360" w:lineRule="auto"/>
        <w:ind w:firstLine="709"/>
        <w:jc w:val="center"/>
        <w:rPr>
          <w:rFonts w:ascii="Bookman Old Style" w:eastAsia="Times New Roman" w:hAnsi="Bookman Old Style" w:cs="Arial"/>
          <w:b/>
          <w:sz w:val="28"/>
          <w:szCs w:val="28"/>
          <w:lang w:val="es-CO" w:eastAsia="es-ES"/>
        </w:rPr>
      </w:pPr>
      <w:r w:rsidRPr="00BA08C9">
        <w:rPr>
          <w:rFonts w:ascii="Bookman Old Style" w:eastAsia="Times New Roman" w:hAnsi="Bookman Old Style" w:cs="Arial"/>
          <w:b/>
          <w:sz w:val="28"/>
          <w:szCs w:val="28"/>
          <w:lang w:eastAsia="es-ES"/>
        </w:rPr>
        <w:t>Radicación Nº 46657</w:t>
      </w:r>
    </w:p>
    <w:p w:rsidR="00911DD1" w:rsidRPr="00BA08C9" w:rsidRDefault="00911DD1" w:rsidP="00911DD1">
      <w:pPr>
        <w:spacing w:after="0" w:line="360" w:lineRule="auto"/>
        <w:ind w:firstLine="709"/>
        <w:jc w:val="center"/>
        <w:rPr>
          <w:rFonts w:ascii="Bookman Old Style" w:eastAsia="Times New Roman" w:hAnsi="Bookman Old Style" w:cs="Times New Roman"/>
          <w:sz w:val="26"/>
          <w:szCs w:val="26"/>
          <w:lang w:eastAsia="es-ES"/>
        </w:rPr>
      </w:pPr>
      <w:r w:rsidRPr="00BA08C9">
        <w:rPr>
          <w:rFonts w:ascii="Bookman Old Style" w:eastAsia="Times New Roman" w:hAnsi="Bookman Old Style" w:cs="Times New Roman"/>
          <w:sz w:val="26"/>
          <w:szCs w:val="26"/>
          <w:lang w:eastAsia="es-ES"/>
        </w:rPr>
        <w:t>(</w:t>
      </w:r>
      <w:r>
        <w:rPr>
          <w:rFonts w:ascii="Bookman Old Style" w:eastAsia="Times New Roman" w:hAnsi="Bookman Old Style" w:cs="Arial"/>
          <w:sz w:val="28"/>
          <w:szCs w:val="28"/>
          <w:lang w:eastAsia="es-ES"/>
        </w:rPr>
        <w:t>Aprobado acta N° 314</w:t>
      </w:r>
      <w:r w:rsidRPr="00BA08C9">
        <w:rPr>
          <w:rFonts w:ascii="Bookman Old Style" w:eastAsia="Times New Roman" w:hAnsi="Bookman Old Style" w:cs="Times New Roman"/>
          <w:sz w:val="28"/>
          <w:szCs w:val="28"/>
          <w:lang w:eastAsia="es-ES"/>
        </w:rPr>
        <w:t>)</w:t>
      </w:r>
    </w:p>
    <w:p w:rsidR="00911DD1" w:rsidRPr="00BA08C9" w:rsidRDefault="00911DD1" w:rsidP="00911DD1">
      <w:pPr>
        <w:spacing w:after="0" w:line="360" w:lineRule="auto"/>
        <w:ind w:firstLine="709"/>
        <w:jc w:val="center"/>
        <w:rPr>
          <w:rFonts w:ascii="Bookman Old Style" w:eastAsia="Times New Roman" w:hAnsi="Bookman Old Style" w:cs="Arial"/>
          <w:b/>
          <w:sz w:val="26"/>
          <w:szCs w:val="26"/>
          <w:lang w:eastAsia="es-ES"/>
        </w:rPr>
      </w:pPr>
    </w:p>
    <w:p w:rsidR="00911DD1" w:rsidRPr="00BA08C9" w:rsidRDefault="00911DD1" w:rsidP="00911DD1">
      <w:pPr>
        <w:spacing w:after="0" w:line="360" w:lineRule="auto"/>
        <w:ind w:firstLine="709"/>
        <w:jc w:val="center"/>
        <w:rPr>
          <w:rFonts w:ascii="Bookman Old Style" w:eastAsia="Times New Roman" w:hAnsi="Bookman Old Style" w:cs="Arial"/>
          <w:b/>
          <w:sz w:val="26"/>
          <w:szCs w:val="26"/>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Bogotá</w:t>
      </w:r>
      <w:r>
        <w:rPr>
          <w:rFonts w:ascii="Bookman Old Style" w:eastAsia="Times New Roman" w:hAnsi="Bookman Old Style" w:cs="Times New Roman"/>
          <w:sz w:val="28"/>
          <w:szCs w:val="28"/>
          <w:lang w:eastAsia="es-ES"/>
        </w:rPr>
        <w:t>, D.C., nueve (9</w:t>
      </w:r>
      <w:r w:rsidRPr="00BA08C9">
        <w:rPr>
          <w:rFonts w:ascii="Bookman Old Style" w:eastAsia="Times New Roman" w:hAnsi="Bookman Old Style" w:cs="Times New Roman"/>
          <w:sz w:val="28"/>
          <w:szCs w:val="28"/>
          <w:lang w:eastAsia="es-ES"/>
        </w:rPr>
        <w:t>) de septiembre de dos mil quince (2015).</w:t>
      </w:r>
    </w:p>
    <w:p w:rsidR="00911DD1" w:rsidRPr="00BA08C9" w:rsidRDefault="00911DD1" w:rsidP="00911DD1">
      <w:pPr>
        <w:spacing w:after="0" w:line="360" w:lineRule="auto"/>
        <w:ind w:firstLine="709"/>
        <w:jc w:val="both"/>
        <w:rPr>
          <w:rFonts w:ascii="Bookman Old Style" w:eastAsia="Times New Roman" w:hAnsi="Bookman Old Style" w:cs="Arial"/>
          <w:b/>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Arial"/>
          <w:b/>
          <w:sz w:val="28"/>
          <w:szCs w:val="28"/>
          <w:lang w:val="es-ES_tradnl" w:eastAsia="es-ES"/>
        </w:rPr>
      </w:pPr>
    </w:p>
    <w:p w:rsidR="00911DD1" w:rsidRPr="00BA08C9" w:rsidRDefault="00911DD1" w:rsidP="00911DD1">
      <w:pPr>
        <w:keepNext/>
        <w:spacing w:after="0" w:line="360" w:lineRule="auto"/>
        <w:ind w:right="51" w:firstLine="709"/>
        <w:jc w:val="center"/>
        <w:outlineLvl w:val="1"/>
        <w:rPr>
          <w:rFonts w:ascii="Bookman Old Style" w:eastAsia="Times New Roman" w:hAnsi="Bookman Old Style" w:cs="Times New Roman"/>
          <w:b/>
          <w:sz w:val="28"/>
          <w:szCs w:val="28"/>
          <w:lang w:val="es-ES_tradnl" w:eastAsia="es-ES"/>
        </w:rPr>
      </w:pPr>
      <w:r w:rsidRPr="00BA08C9">
        <w:rPr>
          <w:rFonts w:ascii="Bookman Old Style" w:eastAsia="Times New Roman" w:hAnsi="Bookman Old Style" w:cs="Times New Roman"/>
          <w:b/>
          <w:sz w:val="28"/>
          <w:szCs w:val="28"/>
          <w:lang w:val="es-ES_tradnl" w:eastAsia="es-ES"/>
        </w:rPr>
        <w:t>I. V I S T O S</w:t>
      </w:r>
    </w:p>
    <w:p w:rsidR="00911DD1"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 xml:space="preserve">La Corte se pronuncia sobre los requisitos de lógica y debida fundamentación de la demanda de </w:t>
      </w:r>
      <w:r w:rsidRPr="00BA08C9">
        <w:rPr>
          <w:rFonts w:ascii="Bookman Old Style" w:eastAsia="Times New Roman" w:hAnsi="Bookman Old Style" w:cs="Times New Roman"/>
          <w:b/>
          <w:sz w:val="28"/>
          <w:szCs w:val="28"/>
          <w:lang w:eastAsia="es-ES"/>
        </w:rPr>
        <w:t>revisión</w:t>
      </w:r>
      <w:r w:rsidRPr="00BA08C9">
        <w:rPr>
          <w:rFonts w:ascii="Bookman Old Style" w:eastAsia="Times New Roman" w:hAnsi="Bookman Old Style" w:cs="Times New Roman"/>
          <w:sz w:val="28"/>
          <w:szCs w:val="28"/>
          <w:lang w:eastAsia="es-ES"/>
        </w:rPr>
        <w:t xml:space="preserve"> presentada contra de la sentencia anticipada de primera instancia del 5 de julio de 2012, por medo de la cual el Juzgado Promiscuo Penal del Circuito de Maicao condenó a </w:t>
      </w:r>
      <w:r w:rsidRPr="00BA08C9">
        <w:rPr>
          <w:rFonts w:ascii="Bookman Old Style" w:eastAsia="Times New Roman" w:hAnsi="Bookman Old Style" w:cs="Times New Roman"/>
          <w:b/>
          <w:sz w:val="28"/>
          <w:szCs w:val="28"/>
          <w:lang w:eastAsia="es-ES"/>
        </w:rPr>
        <w:t>Pedro Domingo Ríos Campuzano</w:t>
      </w:r>
      <w:r w:rsidRPr="00BA08C9">
        <w:rPr>
          <w:rFonts w:ascii="Bookman Old Style" w:eastAsia="Times New Roman" w:hAnsi="Bookman Old Style" w:cs="Times New Roman"/>
          <w:sz w:val="28"/>
          <w:szCs w:val="28"/>
          <w:lang w:eastAsia="es-ES"/>
        </w:rPr>
        <w:t xml:space="preserve"> por los delitos de </w:t>
      </w:r>
      <w:r w:rsidRPr="00BA08C9">
        <w:rPr>
          <w:rFonts w:ascii="Bookman Old Style" w:eastAsia="Times New Roman" w:hAnsi="Bookman Old Style" w:cs="Times New Roman"/>
          <w:sz w:val="28"/>
          <w:szCs w:val="28"/>
          <w:lang w:eastAsia="es-ES"/>
        </w:rPr>
        <w:lastRenderedPageBreak/>
        <w:t>homicidio, tentativa de homicidio, fabricación, tráfico y porte o tenencia de armas de fuego o municiones.</w:t>
      </w:r>
    </w:p>
    <w:p w:rsidR="00911DD1"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center"/>
        <w:rPr>
          <w:rFonts w:ascii="Bookman Old Style" w:eastAsia="Times New Roman" w:hAnsi="Bookman Old Style" w:cs="Times New Roman"/>
          <w:b/>
          <w:sz w:val="28"/>
          <w:szCs w:val="28"/>
          <w:lang w:eastAsia="es-ES"/>
        </w:rPr>
      </w:pPr>
      <w:r w:rsidRPr="00BA08C9">
        <w:rPr>
          <w:rFonts w:ascii="Bookman Old Style" w:eastAsia="Times New Roman" w:hAnsi="Bookman Old Style" w:cs="Times New Roman"/>
          <w:b/>
          <w:sz w:val="28"/>
          <w:szCs w:val="28"/>
          <w:lang w:eastAsia="es-ES"/>
        </w:rPr>
        <w:t>II. HECHOS Y ANTECEDENTES PROCESALES RELEVANTES</w:t>
      </w:r>
    </w:p>
    <w:p w:rsidR="00911DD1"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 xml:space="preserve">1. Hacía las 10:50 </w:t>
      </w:r>
      <w:proofErr w:type="spellStart"/>
      <w:r w:rsidRPr="00BA08C9">
        <w:rPr>
          <w:rFonts w:ascii="Bookman Old Style" w:eastAsia="Times New Roman" w:hAnsi="Bookman Old Style" w:cs="Times New Roman"/>
          <w:sz w:val="28"/>
          <w:szCs w:val="28"/>
          <w:lang w:eastAsia="es-ES"/>
        </w:rPr>
        <w:t>hr</w:t>
      </w:r>
      <w:proofErr w:type="spellEnd"/>
      <w:r w:rsidRPr="00BA08C9">
        <w:rPr>
          <w:rFonts w:ascii="Bookman Old Style" w:eastAsia="Times New Roman" w:hAnsi="Bookman Old Style" w:cs="Times New Roman"/>
          <w:sz w:val="28"/>
          <w:szCs w:val="28"/>
          <w:lang w:eastAsia="es-ES"/>
        </w:rPr>
        <w:t xml:space="preserve">. </w:t>
      </w:r>
      <w:proofErr w:type="gramStart"/>
      <w:r w:rsidRPr="00BA08C9">
        <w:rPr>
          <w:rFonts w:ascii="Bookman Old Style" w:eastAsia="Times New Roman" w:hAnsi="Bookman Old Style" w:cs="Times New Roman"/>
          <w:sz w:val="28"/>
          <w:szCs w:val="28"/>
          <w:lang w:eastAsia="es-ES"/>
        </w:rPr>
        <w:t>del</w:t>
      </w:r>
      <w:proofErr w:type="gramEnd"/>
      <w:r w:rsidRPr="00BA08C9">
        <w:rPr>
          <w:rFonts w:ascii="Bookman Old Style" w:eastAsia="Times New Roman" w:hAnsi="Bookman Old Style" w:cs="Times New Roman"/>
          <w:sz w:val="28"/>
          <w:szCs w:val="28"/>
          <w:lang w:eastAsia="es-ES"/>
        </w:rPr>
        <w:t xml:space="preserve"> 25 de enero de 2012, miembros del Ejército Nacional que realizaban labor</w:t>
      </w:r>
      <w:r>
        <w:rPr>
          <w:rFonts w:ascii="Bookman Old Style" w:eastAsia="Times New Roman" w:hAnsi="Bookman Old Style" w:cs="Times New Roman"/>
          <w:sz w:val="28"/>
          <w:szCs w:val="28"/>
          <w:lang w:eastAsia="es-ES"/>
        </w:rPr>
        <w:t>es</w:t>
      </w:r>
      <w:r w:rsidRPr="00BA08C9">
        <w:rPr>
          <w:rFonts w:ascii="Bookman Old Style" w:eastAsia="Times New Roman" w:hAnsi="Bookman Old Style" w:cs="Times New Roman"/>
          <w:sz w:val="28"/>
          <w:szCs w:val="28"/>
          <w:lang w:eastAsia="es-ES"/>
        </w:rPr>
        <w:t xml:space="preserve"> de patrullaje en la carrera 28 con calle 16, barrio Buenos Aires del municipio de Maicao (Guajira), observaron a quien luego fue identificado como </w:t>
      </w:r>
      <w:r w:rsidRPr="00BA08C9">
        <w:rPr>
          <w:rFonts w:ascii="Bookman Old Style" w:eastAsia="Times New Roman" w:hAnsi="Bookman Old Style" w:cs="Times New Roman"/>
          <w:b/>
          <w:sz w:val="28"/>
          <w:szCs w:val="28"/>
          <w:lang w:eastAsia="es-ES"/>
        </w:rPr>
        <w:t>Pedro Domingo Ríos Campuzano</w:t>
      </w:r>
      <w:r w:rsidRPr="00BA08C9">
        <w:rPr>
          <w:rFonts w:ascii="Bookman Old Style" w:eastAsia="Times New Roman" w:hAnsi="Bookman Old Style" w:cs="Times New Roman"/>
          <w:sz w:val="28"/>
          <w:szCs w:val="28"/>
          <w:lang w:eastAsia="es-ES"/>
        </w:rPr>
        <w:t xml:space="preserve"> en momentos en que disparaba un arma de fuego contra el ciudadano Guillermo Enrique Suárez Pinto, quien falleció en el mismo lugar, conducta </w:t>
      </w:r>
      <w:r>
        <w:rPr>
          <w:rFonts w:ascii="Bookman Old Style" w:eastAsia="Times New Roman" w:hAnsi="Bookman Old Style" w:cs="Times New Roman"/>
          <w:sz w:val="28"/>
          <w:szCs w:val="28"/>
          <w:lang w:eastAsia="es-ES"/>
        </w:rPr>
        <w:t xml:space="preserve">que, además, </w:t>
      </w:r>
      <w:r w:rsidRPr="00BA08C9">
        <w:rPr>
          <w:rFonts w:ascii="Bookman Old Style" w:eastAsia="Times New Roman" w:hAnsi="Bookman Old Style" w:cs="Times New Roman"/>
          <w:sz w:val="28"/>
          <w:szCs w:val="28"/>
          <w:lang w:eastAsia="es-ES"/>
        </w:rPr>
        <w:t xml:space="preserve">ocasionó lesiones personales a Luis Santander </w:t>
      </w:r>
      <w:proofErr w:type="spellStart"/>
      <w:r w:rsidRPr="00BA08C9">
        <w:rPr>
          <w:rFonts w:ascii="Bookman Old Style" w:eastAsia="Times New Roman" w:hAnsi="Bookman Old Style" w:cs="Times New Roman"/>
          <w:sz w:val="28"/>
          <w:szCs w:val="28"/>
          <w:lang w:eastAsia="es-ES"/>
        </w:rPr>
        <w:t>Epiayú</w:t>
      </w:r>
      <w:proofErr w:type="spellEnd"/>
      <w:r w:rsidRPr="00BA08C9">
        <w:rPr>
          <w:rFonts w:ascii="Bookman Old Style" w:eastAsia="Times New Roman" w:hAnsi="Bookman Old Style" w:cs="Times New Roman"/>
          <w:sz w:val="28"/>
          <w:szCs w:val="28"/>
          <w:lang w:eastAsia="es-ES"/>
        </w:rPr>
        <w:t xml:space="preserve"> Velásquez.</w:t>
      </w:r>
    </w:p>
    <w:p w:rsidR="00911DD1" w:rsidRPr="00BA08C9" w:rsidRDefault="00911DD1" w:rsidP="00911DD1">
      <w:pPr>
        <w:spacing w:after="0" w:line="48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 xml:space="preserve"> 2. El 26 del mismo mes, </w:t>
      </w:r>
      <w:r w:rsidRPr="00BA08C9">
        <w:rPr>
          <w:rFonts w:ascii="Bookman Old Style" w:eastAsia="Times New Roman" w:hAnsi="Bookman Old Style" w:cs="Times New Roman"/>
          <w:b/>
          <w:sz w:val="28"/>
          <w:szCs w:val="28"/>
          <w:lang w:eastAsia="es-ES"/>
        </w:rPr>
        <w:t>Ríos Campuzano</w:t>
      </w:r>
      <w:r w:rsidRPr="00BA08C9">
        <w:rPr>
          <w:rFonts w:ascii="Bookman Old Style" w:eastAsia="Times New Roman" w:hAnsi="Bookman Old Style" w:cs="Times New Roman"/>
          <w:sz w:val="28"/>
          <w:szCs w:val="28"/>
          <w:lang w:eastAsia="es-ES"/>
        </w:rPr>
        <w:t xml:space="preserve"> fue imputado por los delitos de homicidio agravado, en concurso con tentativa de homicidio agravado y fabricación, tráfico, porte o tenencia de arma de fuego, accesorios, partes o municiones. El 9 de marzo siguiente, asistido por su defensor, suscribió preacuerdo con la fiscalía, conviniendo como único beneficio la eliminación de los agravantes a los delitos imputados. Además, acordaron proponer al juez que al momento de realizar la dosificación de la pena partiera del mínimo establecido para el delito más grave. </w:t>
      </w: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lastRenderedPageBreak/>
        <w:t xml:space="preserve">Así las cosas, en fallo anticipado del 5 de junio de 2012, el Juzgado 1º Promiscuo del Circuito de Maicao, tras aprobar el preacuerdo, condenó a </w:t>
      </w:r>
      <w:r w:rsidRPr="00BA08C9">
        <w:rPr>
          <w:rFonts w:ascii="Bookman Old Style" w:eastAsia="Times New Roman" w:hAnsi="Bookman Old Style" w:cs="Times New Roman"/>
          <w:b/>
          <w:sz w:val="28"/>
          <w:szCs w:val="28"/>
          <w:lang w:eastAsia="es-ES"/>
        </w:rPr>
        <w:t>Pedro Domingo Ríos Campuzano</w:t>
      </w:r>
      <w:r w:rsidRPr="00BA08C9">
        <w:rPr>
          <w:rFonts w:ascii="Bookman Old Style" w:eastAsia="Times New Roman" w:hAnsi="Bookman Old Style" w:cs="Times New Roman"/>
          <w:sz w:val="28"/>
          <w:szCs w:val="28"/>
          <w:lang w:eastAsia="es-ES"/>
        </w:rPr>
        <w:t xml:space="preserve"> a la pena principal de 338 meses de prisión y a la accesoria de inhabilitación para el ejercicio de derechos y funciones públicas por un término semejante, como autor doloso del delito de homicidio, en concurso con tentativa de homicidio y fabricación, tráfico, porte o tenencia de arma de fuego, accesorios, partes o municiones.</w:t>
      </w:r>
    </w:p>
    <w:p w:rsidR="00911DD1" w:rsidRPr="00BA08C9" w:rsidRDefault="00911DD1" w:rsidP="00911DD1">
      <w:pPr>
        <w:spacing w:after="0" w:line="24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Apelado el fallo de primer grado por la defensa, el Tribunal de Riohacha confirmó la condena y modificó las penas, en el sentido de fijar la de prisión en 260 meses y la accesoria en 20 años.</w:t>
      </w:r>
    </w:p>
    <w:p w:rsidR="00911DD1" w:rsidRPr="00E37ED6" w:rsidRDefault="00911DD1" w:rsidP="00911DD1">
      <w:pPr>
        <w:spacing w:after="0" w:line="360" w:lineRule="auto"/>
        <w:ind w:firstLine="709"/>
        <w:jc w:val="both"/>
        <w:rPr>
          <w:rFonts w:ascii="Bookman Old Style" w:eastAsia="Times New Roman" w:hAnsi="Bookman Old Style" w:cs="Times New Roman"/>
          <w:szCs w:val="28"/>
          <w:lang w:eastAsia="es-ES"/>
        </w:rPr>
      </w:pPr>
      <w:r w:rsidRPr="00BA08C9">
        <w:rPr>
          <w:rFonts w:ascii="Bookman Old Style" w:eastAsia="Times New Roman" w:hAnsi="Bookman Old Style" w:cs="Times New Roman"/>
          <w:sz w:val="28"/>
          <w:szCs w:val="28"/>
          <w:lang w:eastAsia="es-ES"/>
        </w:rPr>
        <w:t xml:space="preserve"> </w:t>
      </w: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center"/>
        <w:rPr>
          <w:rFonts w:ascii="Bookman Old Style" w:eastAsia="Times New Roman" w:hAnsi="Bookman Old Style" w:cs="Times New Roman"/>
          <w:b/>
          <w:sz w:val="28"/>
          <w:szCs w:val="28"/>
          <w:lang w:eastAsia="es-ES"/>
        </w:rPr>
      </w:pPr>
      <w:r w:rsidRPr="00BA08C9">
        <w:rPr>
          <w:rFonts w:ascii="Bookman Old Style" w:eastAsia="Times New Roman" w:hAnsi="Bookman Old Style" w:cs="Times New Roman"/>
          <w:b/>
          <w:sz w:val="28"/>
          <w:szCs w:val="28"/>
          <w:lang w:eastAsia="es-ES"/>
        </w:rPr>
        <w:t>III. LA DEMANDA DE REVISIÓN</w:t>
      </w:r>
    </w:p>
    <w:p w:rsidR="00911DD1"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Tras indicar que la causal número cinco de revisión “</w:t>
      </w:r>
      <w:r w:rsidRPr="00BA08C9">
        <w:rPr>
          <w:rFonts w:ascii="Bookman Old Style" w:eastAsia="Times New Roman" w:hAnsi="Bookman Old Style" w:cs="Times New Roman"/>
          <w:i/>
          <w:sz w:val="28"/>
          <w:szCs w:val="28"/>
          <w:lang w:eastAsia="es-ES"/>
        </w:rPr>
        <w:t>se ajusta a nuestras pretensiones legales torres pendientes a lo establecido en el preacuerdo llevado a cabo en esta causa</w:t>
      </w:r>
      <w:r w:rsidRPr="00BA08C9">
        <w:rPr>
          <w:rFonts w:ascii="Bookman Old Style" w:eastAsia="Times New Roman" w:hAnsi="Bookman Old Style" w:cs="Times New Roman"/>
          <w:sz w:val="28"/>
          <w:szCs w:val="28"/>
          <w:lang w:eastAsia="es-ES"/>
        </w:rPr>
        <w:t>” (sic), el accionante señala que el fallo del Tribunal del 4 de septiembre de 2012 “</w:t>
      </w:r>
      <w:r w:rsidRPr="00BA08C9">
        <w:rPr>
          <w:rFonts w:ascii="Bookman Old Style" w:eastAsia="Times New Roman" w:hAnsi="Bookman Old Style" w:cs="Times New Roman"/>
          <w:i/>
          <w:sz w:val="28"/>
          <w:szCs w:val="28"/>
          <w:lang w:eastAsia="es-ES"/>
        </w:rPr>
        <w:t>carece de la totalidad punitiva a rebajar por el concepto de preacuerdo celebrado el día 09 de marzo  de 2012, ya que en dicha audiencia se estableció por ambas partes el moto de la sentencia condenatoria que próximamente se emitirá</w:t>
      </w:r>
      <w:r w:rsidRPr="00BA08C9">
        <w:rPr>
          <w:rFonts w:ascii="Bookman Old Style" w:eastAsia="Times New Roman" w:hAnsi="Bookman Old Style" w:cs="Times New Roman"/>
          <w:sz w:val="28"/>
          <w:szCs w:val="28"/>
          <w:lang w:eastAsia="es-ES"/>
        </w:rPr>
        <w:t>”.</w:t>
      </w:r>
    </w:p>
    <w:p w:rsidR="00911DD1" w:rsidRPr="00BA08C9" w:rsidRDefault="00911DD1" w:rsidP="00911DD1">
      <w:pPr>
        <w:spacing w:after="0" w:line="24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 xml:space="preserve">Agrega que la condena de 260 meses de prisión que pesa en contra de su asistido sobrepasa en 42 meses lo </w:t>
      </w:r>
      <w:proofErr w:type="spellStart"/>
      <w:r w:rsidRPr="00BA08C9">
        <w:rPr>
          <w:rFonts w:ascii="Bookman Old Style" w:eastAsia="Times New Roman" w:hAnsi="Bookman Old Style" w:cs="Times New Roman"/>
          <w:sz w:val="28"/>
          <w:szCs w:val="28"/>
          <w:lang w:eastAsia="es-ES"/>
        </w:rPr>
        <w:lastRenderedPageBreak/>
        <w:t>preacordado</w:t>
      </w:r>
      <w:proofErr w:type="spellEnd"/>
      <w:r w:rsidRPr="00BA08C9">
        <w:rPr>
          <w:rFonts w:ascii="Bookman Old Style" w:eastAsia="Times New Roman" w:hAnsi="Bookman Old Style" w:cs="Times New Roman"/>
          <w:sz w:val="28"/>
          <w:szCs w:val="28"/>
          <w:lang w:eastAsia="es-ES"/>
        </w:rPr>
        <w:t>, “</w:t>
      </w:r>
      <w:r w:rsidRPr="00BA08C9">
        <w:rPr>
          <w:rFonts w:ascii="Bookman Old Style" w:eastAsia="Times New Roman" w:hAnsi="Bookman Old Style" w:cs="Times New Roman"/>
          <w:i/>
          <w:sz w:val="28"/>
          <w:szCs w:val="28"/>
          <w:lang w:eastAsia="es-ES"/>
        </w:rPr>
        <w:t xml:space="preserve">haciéndole dado al juez de primera instancia un entendimiento a los artículos 31 y 61 del código penal a los cuales establecen la movición correcta de los </w:t>
      </w:r>
      <w:proofErr w:type="spellStart"/>
      <w:r w:rsidRPr="00BA08C9">
        <w:rPr>
          <w:rFonts w:ascii="Bookman Old Style" w:eastAsia="Times New Roman" w:hAnsi="Bookman Old Style" w:cs="Times New Roman"/>
          <w:i/>
          <w:sz w:val="28"/>
          <w:szCs w:val="28"/>
          <w:lang w:eastAsia="es-ES"/>
        </w:rPr>
        <w:t>bravismo</w:t>
      </w:r>
      <w:proofErr w:type="spellEnd"/>
      <w:r w:rsidRPr="00BA08C9">
        <w:rPr>
          <w:rFonts w:ascii="Bookman Old Style" w:eastAsia="Times New Roman" w:hAnsi="Bookman Old Style" w:cs="Times New Roman"/>
          <w:i/>
          <w:sz w:val="28"/>
          <w:szCs w:val="28"/>
          <w:lang w:eastAsia="es-ES"/>
        </w:rPr>
        <w:t xml:space="preserve"> con los acuerdos celebrados en un preacuerdo penal</w:t>
      </w:r>
      <w:r w:rsidRPr="00BA08C9">
        <w:rPr>
          <w:rFonts w:ascii="Bookman Old Style" w:eastAsia="Times New Roman" w:hAnsi="Bookman Old Style" w:cs="Times New Roman"/>
          <w:sz w:val="28"/>
          <w:szCs w:val="28"/>
          <w:lang w:eastAsia="es-ES"/>
        </w:rPr>
        <w:t>” (sic).</w:t>
      </w:r>
    </w:p>
    <w:p w:rsidR="00911DD1" w:rsidRPr="00BA08C9" w:rsidRDefault="00911DD1" w:rsidP="00911DD1">
      <w:pPr>
        <w:spacing w:after="0" w:line="24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El accionante avanza en su deshilvanado y desordenado argumento, del cual se extrae, en síntesis, y no sin dificultad, que su reproche se orienta a que el juzgador ha debido imponer la pena de prisión de 208 meses, monto que, al decir del accionante, fue pactado en el preacuerdo; en este se determinó que las conductas atribuidas al entonces procesado iban a carecer de los agravantes, entre ellos el de la Ley 890 de 2004. Así mismo, llama la atención en que su asistido carecía de antecedentes penales y reprocha que el sentenciador hubiera fijado la pena mediante el sistema de cuartos, lo que no procede en los casos en que se han llevado a cabo preacuerdos o negociaciones.</w:t>
      </w:r>
    </w:p>
    <w:p w:rsidR="00911DD1" w:rsidRPr="00BA08C9" w:rsidRDefault="00911DD1" w:rsidP="00911DD1">
      <w:pPr>
        <w:spacing w:after="0" w:line="24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Anuncia que queda a la espera de un pronunciamiento equitativo, ajustado a la normatividad penal y acorde con lo planteado en la parte “</w:t>
      </w:r>
      <w:r w:rsidRPr="00BA08C9">
        <w:rPr>
          <w:rFonts w:ascii="Bookman Old Style" w:eastAsia="Times New Roman" w:hAnsi="Bookman Old Style" w:cs="Times New Roman"/>
          <w:i/>
          <w:sz w:val="28"/>
          <w:szCs w:val="28"/>
          <w:lang w:eastAsia="es-ES"/>
        </w:rPr>
        <w:t>emotiva</w:t>
      </w:r>
      <w:r w:rsidRPr="00BA08C9">
        <w:rPr>
          <w:rFonts w:ascii="Bookman Old Style" w:eastAsia="Times New Roman" w:hAnsi="Bookman Old Style" w:cs="Times New Roman"/>
          <w:sz w:val="28"/>
          <w:szCs w:val="28"/>
          <w:lang w:eastAsia="es-ES"/>
        </w:rPr>
        <w:t>”.</w:t>
      </w:r>
    </w:p>
    <w:p w:rsidR="00911DD1" w:rsidRPr="00BA08C9" w:rsidRDefault="00911DD1" w:rsidP="00911DD1">
      <w:pPr>
        <w:spacing w:after="0" w:line="24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Junto a la demanda, el accionante anexa los siguientes documentos:</w:t>
      </w:r>
    </w:p>
    <w:p w:rsidR="00911DD1" w:rsidRPr="00BA08C9" w:rsidRDefault="00911DD1" w:rsidP="00911DD1">
      <w:pPr>
        <w:spacing w:after="0" w:line="24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i) Copias de su tarjeta profesional de abogado y cédula de ciudadanía.</w:t>
      </w:r>
    </w:p>
    <w:p w:rsidR="00911DD1" w:rsidRPr="00BA08C9" w:rsidRDefault="00911DD1" w:rsidP="00911DD1">
      <w:pPr>
        <w:spacing w:after="0" w:line="24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 xml:space="preserve">ii) Copia del auto del 6 de julio de 2015, por medio del cual la Juez 4ª de Ejecución de Penas y Medidas de </w:t>
      </w:r>
      <w:r w:rsidRPr="00BA08C9">
        <w:rPr>
          <w:rFonts w:ascii="Bookman Old Style" w:eastAsia="Times New Roman" w:hAnsi="Bookman Old Style" w:cs="Times New Roman"/>
          <w:sz w:val="28"/>
          <w:szCs w:val="28"/>
          <w:lang w:eastAsia="es-ES"/>
        </w:rPr>
        <w:lastRenderedPageBreak/>
        <w:t xml:space="preserve">Seguridad de Valledupar ordena la expedición de copias del proceso seguido contra </w:t>
      </w:r>
      <w:r w:rsidRPr="00BA08C9">
        <w:rPr>
          <w:rFonts w:ascii="Bookman Old Style" w:eastAsia="Times New Roman" w:hAnsi="Bookman Old Style" w:cs="Times New Roman"/>
          <w:b/>
          <w:sz w:val="28"/>
          <w:szCs w:val="28"/>
          <w:lang w:eastAsia="es-ES"/>
        </w:rPr>
        <w:t>Ríos Campuzano</w:t>
      </w:r>
      <w:r w:rsidRPr="00BA08C9">
        <w:rPr>
          <w:rFonts w:ascii="Bookman Old Style" w:eastAsia="Times New Roman" w:hAnsi="Bookman Old Style" w:cs="Times New Roman"/>
          <w:sz w:val="28"/>
          <w:szCs w:val="28"/>
          <w:lang w:eastAsia="es-ES"/>
        </w:rPr>
        <w:t xml:space="preserve">. </w:t>
      </w: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iii) Copia simple de los fallos de primera y segunda instancia.</w:t>
      </w:r>
    </w:p>
    <w:p w:rsidR="00911DD1" w:rsidRDefault="00911DD1" w:rsidP="00911DD1">
      <w:pPr>
        <w:spacing w:after="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 xml:space="preserve"> </w:t>
      </w: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center"/>
        <w:rPr>
          <w:rFonts w:ascii="Bookman Old Style" w:eastAsia="Times New Roman" w:hAnsi="Bookman Old Style" w:cs="Tahoma"/>
          <w:b/>
          <w:bCs/>
          <w:sz w:val="28"/>
          <w:szCs w:val="28"/>
          <w:lang w:eastAsia="es-ES"/>
        </w:rPr>
      </w:pPr>
      <w:r w:rsidRPr="00BA08C9">
        <w:rPr>
          <w:rFonts w:ascii="Bookman Old Style" w:eastAsia="Times New Roman" w:hAnsi="Bookman Old Style" w:cs="Times New Roman"/>
          <w:b/>
          <w:sz w:val="28"/>
          <w:szCs w:val="28"/>
          <w:lang w:eastAsia="es-ES"/>
        </w:rPr>
        <w:t>IV. CONSIDERACIONES DE LA CORTE</w:t>
      </w:r>
    </w:p>
    <w:p w:rsidR="00911DD1"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12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 xml:space="preserve">La Sala anticipa su decisión de </w:t>
      </w:r>
      <w:r w:rsidRPr="00BA08C9">
        <w:rPr>
          <w:rFonts w:ascii="Bookman Old Style" w:eastAsia="Times New Roman" w:hAnsi="Bookman Old Style" w:cs="Times New Roman"/>
          <w:b/>
          <w:sz w:val="28"/>
          <w:szCs w:val="28"/>
          <w:lang w:eastAsia="es-ES"/>
        </w:rPr>
        <w:t xml:space="preserve">inadmitir </w:t>
      </w:r>
      <w:r w:rsidRPr="00BA08C9">
        <w:rPr>
          <w:rFonts w:ascii="Bookman Old Style" w:eastAsia="Times New Roman" w:hAnsi="Bookman Old Style" w:cs="Times New Roman"/>
          <w:sz w:val="28"/>
          <w:szCs w:val="28"/>
          <w:lang w:eastAsia="es-ES"/>
        </w:rPr>
        <w:t xml:space="preserve">el escrito con el que se pretende sustentar la acción de revisión, pues resulta notorio el incumplimiento de las mínimas exigencias a cargo del accionante para enseñar que el fallo acarrea un componente de evidente injusticia material. Las razones son las siguientes: </w:t>
      </w:r>
    </w:p>
    <w:p w:rsidR="00911DD1" w:rsidRPr="00BA08C9" w:rsidRDefault="00911DD1" w:rsidP="00911DD1">
      <w:pPr>
        <w:spacing w:after="12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12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1. El abogado accionante carece de legitimidad procesal para formular la acción de revisión, dado que no cuenta con el poder especial para ese efecto otorgado por el sentenciado. Téngase en cuenta que, según el artículo 193 de la Ley 906 de 2004, la presentación de la acción de revisión requiere poder especial, exigencia que encuentra su razón de ser en que el trámite de la revisión es independiente del proceso penal cuya revisión se pretende. Por tal motivo, el defensor que actuó en las instancias del proceso no está automáticamente legitimado para intentar la acción de revisión, como si de un recurso ordinario se tratara.</w:t>
      </w:r>
    </w:p>
    <w:p w:rsidR="00911DD1" w:rsidRPr="00BA08C9" w:rsidRDefault="00911DD1" w:rsidP="00911DD1">
      <w:pPr>
        <w:spacing w:after="120" w:line="360" w:lineRule="auto"/>
        <w:ind w:firstLine="709"/>
        <w:jc w:val="both"/>
        <w:rPr>
          <w:rFonts w:ascii="Bookman Old Style" w:hAnsi="Bookman Old Style"/>
          <w:sz w:val="28"/>
          <w:szCs w:val="28"/>
        </w:rPr>
      </w:pPr>
      <w:r w:rsidRPr="00BA08C9">
        <w:rPr>
          <w:rFonts w:ascii="Bookman Old Style" w:eastAsia="Times New Roman" w:hAnsi="Bookman Old Style" w:cs="Times New Roman"/>
          <w:sz w:val="28"/>
          <w:szCs w:val="28"/>
          <w:lang w:eastAsia="es-ES"/>
        </w:rPr>
        <w:lastRenderedPageBreak/>
        <w:t xml:space="preserve">2. El accionante omite otro de los presupuestos necesarios para admitir la demanda, cual es el consagrado en el </w:t>
      </w:r>
      <w:r w:rsidRPr="00BA08C9">
        <w:rPr>
          <w:rFonts w:ascii="Bookman Old Style" w:hAnsi="Bookman Old Style"/>
          <w:sz w:val="28"/>
          <w:szCs w:val="28"/>
        </w:rPr>
        <w:t xml:space="preserve">artículo </w:t>
      </w:r>
      <w:r w:rsidRPr="00BA08C9">
        <w:rPr>
          <w:rFonts w:ascii="Bookman Old Style" w:hAnsi="Bookman Old Style"/>
          <w:b/>
          <w:sz w:val="28"/>
          <w:szCs w:val="28"/>
        </w:rPr>
        <w:t>194, numeral 4º</w:t>
      </w:r>
      <w:r w:rsidRPr="00BA08C9">
        <w:rPr>
          <w:rFonts w:ascii="Bookman Old Style" w:hAnsi="Bookman Old Style"/>
          <w:sz w:val="28"/>
          <w:szCs w:val="28"/>
        </w:rPr>
        <w:t>,</w:t>
      </w:r>
      <w:r w:rsidRPr="00BA08C9">
        <w:rPr>
          <w:rFonts w:ascii="Bookman Old Style" w:hAnsi="Bookman Old Style"/>
          <w:b/>
          <w:sz w:val="28"/>
          <w:szCs w:val="28"/>
        </w:rPr>
        <w:t xml:space="preserve"> </w:t>
      </w:r>
      <w:r w:rsidRPr="00BA08C9">
        <w:rPr>
          <w:rFonts w:ascii="Bookman Old Style" w:hAnsi="Bookman Old Style"/>
          <w:sz w:val="28"/>
          <w:szCs w:val="28"/>
        </w:rPr>
        <w:t xml:space="preserve">de la Ley 906 de 2004. En efecto, aquel </w:t>
      </w:r>
      <w:r w:rsidRPr="00BA08C9">
        <w:rPr>
          <w:rFonts w:ascii="Bookman Old Style" w:hAnsi="Bookman Old Style"/>
          <w:sz w:val="28"/>
          <w:szCs w:val="28"/>
          <w:lang w:val="es-CO"/>
        </w:rPr>
        <w:t xml:space="preserve">no incluye junto al escrito de demanda la </w:t>
      </w:r>
      <w:r w:rsidRPr="00BA08C9">
        <w:rPr>
          <w:rFonts w:ascii="Bookman Old Style" w:hAnsi="Bookman Old Style"/>
          <w:sz w:val="28"/>
          <w:szCs w:val="28"/>
        </w:rPr>
        <w:t>certificación sobre la ejecutoria del fallo de instancia a cuya revisión aspira, exigencia de no poca relevancia, pues la razón de ser de la revisión es precisamente remover la autoridad de cosa juzgada de una sentencia, lo cual solamente es posible frente a fallos cuya ejecutoria esté cabalmente demostrada.</w:t>
      </w:r>
    </w:p>
    <w:p w:rsidR="00911DD1" w:rsidRPr="00BA08C9" w:rsidRDefault="00911DD1" w:rsidP="00911DD1">
      <w:pPr>
        <w:spacing w:after="120" w:line="240" w:lineRule="auto"/>
        <w:ind w:firstLine="709"/>
        <w:jc w:val="both"/>
        <w:rPr>
          <w:rFonts w:ascii="Bookman Old Style" w:hAnsi="Bookman Old Style"/>
          <w:sz w:val="28"/>
          <w:szCs w:val="28"/>
        </w:rPr>
      </w:pPr>
    </w:p>
    <w:p w:rsidR="00911DD1" w:rsidRPr="00BA08C9" w:rsidRDefault="00911DD1" w:rsidP="00911DD1">
      <w:pPr>
        <w:spacing w:after="120" w:line="360" w:lineRule="auto"/>
        <w:ind w:firstLine="709"/>
        <w:jc w:val="both"/>
        <w:rPr>
          <w:rFonts w:ascii="Bookman Old Style" w:hAnsi="Bookman Old Style"/>
          <w:sz w:val="28"/>
          <w:szCs w:val="28"/>
        </w:rPr>
      </w:pPr>
      <w:r w:rsidRPr="00BA08C9">
        <w:rPr>
          <w:rFonts w:ascii="Bookman Old Style" w:hAnsi="Bookman Old Style"/>
          <w:sz w:val="28"/>
          <w:szCs w:val="28"/>
        </w:rPr>
        <w:t xml:space="preserve">3. Aun cuando la Sala pasara por alto las graves deficiencias reseñadas en precedencia, de todos modos debe concluir que la demanda carece de toda vocación de éxito. </w:t>
      </w:r>
    </w:p>
    <w:p w:rsidR="00911DD1" w:rsidRPr="00BA08C9" w:rsidRDefault="00911DD1" w:rsidP="00911DD1">
      <w:pPr>
        <w:spacing w:after="120" w:line="240" w:lineRule="auto"/>
        <w:ind w:firstLine="709"/>
        <w:jc w:val="both"/>
        <w:rPr>
          <w:rFonts w:ascii="Bookman Old Style" w:hAnsi="Bookman Old Style"/>
          <w:sz w:val="28"/>
          <w:szCs w:val="28"/>
        </w:rPr>
      </w:pPr>
    </w:p>
    <w:p w:rsidR="00911DD1" w:rsidRPr="00BA08C9" w:rsidRDefault="00911DD1" w:rsidP="00911DD1">
      <w:pPr>
        <w:spacing w:after="120" w:line="360" w:lineRule="auto"/>
        <w:ind w:firstLine="709"/>
        <w:jc w:val="both"/>
        <w:rPr>
          <w:rFonts w:ascii="Bookman Old Style" w:hAnsi="Bookman Old Style"/>
          <w:sz w:val="28"/>
          <w:szCs w:val="28"/>
        </w:rPr>
      </w:pPr>
      <w:r w:rsidRPr="00BA08C9">
        <w:rPr>
          <w:rFonts w:ascii="Bookman Old Style" w:hAnsi="Bookman Old Style"/>
          <w:sz w:val="28"/>
          <w:szCs w:val="28"/>
        </w:rPr>
        <w:t xml:space="preserve">El accionante menciona la </w:t>
      </w:r>
      <w:r w:rsidRPr="00BA08C9">
        <w:rPr>
          <w:rFonts w:ascii="Bookman Old Style" w:hAnsi="Bookman Old Style"/>
          <w:b/>
          <w:sz w:val="28"/>
          <w:szCs w:val="28"/>
        </w:rPr>
        <w:t>causal quinta de revisión</w:t>
      </w:r>
      <w:r w:rsidRPr="00BA08C9">
        <w:rPr>
          <w:rFonts w:ascii="Bookman Old Style" w:hAnsi="Bookman Old Style"/>
          <w:sz w:val="28"/>
          <w:szCs w:val="28"/>
        </w:rPr>
        <w:t>, pero evidentemente omite por todas partes demostrar sus presupuestos. Dicha causal, que equivale a la cuarta de la Ley 600 de 2000, se configura “</w:t>
      </w:r>
      <w:r w:rsidRPr="00BA08C9">
        <w:rPr>
          <w:rFonts w:ascii="Bookman Old Style" w:hAnsi="Bookman Old Style"/>
          <w:i/>
          <w:sz w:val="28"/>
          <w:szCs w:val="28"/>
        </w:rPr>
        <w:t>cuando con posterioridad a la sentencia se demuestre, mediante decisión en firme, que el fallo fue determinado por un delito del juez o de un tercero</w:t>
      </w:r>
      <w:r w:rsidRPr="00BA08C9">
        <w:rPr>
          <w:rFonts w:ascii="Bookman Old Style" w:hAnsi="Bookman Old Style"/>
          <w:sz w:val="28"/>
          <w:szCs w:val="28"/>
        </w:rPr>
        <w:t xml:space="preserve">”. </w:t>
      </w:r>
    </w:p>
    <w:p w:rsidR="00911DD1" w:rsidRPr="00BA08C9" w:rsidRDefault="00911DD1" w:rsidP="00911DD1">
      <w:pPr>
        <w:spacing w:after="120" w:line="240" w:lineRule="auto"/>
        <w:ind w:firstLine="709"/>
        <w:jc w:val="both"/>
        <w:rPr>
          <w:rFonts w:ascii="Bookman Old Style" w:hAnsi="Bookman Old Style"/>
          <w:sz w:val="28"/>
          <w:szCs w:val="28"/>
        </w:rPr>
      </w:pPr>
    </w:p>
    <w:p w:rsidR="00911DD1" w:rsidRPr="00BA08C9" w:rsidRDefault="00911DD1" w:rsidP="00911DD1">
      <w:pPr>
        <w:spacing w:after="120" w:line="360" w:lineRule="auto"/>
        <w:ind w:firstLine="709"/>
        <w:jc w:val="both"/>
        <w:rPr>
          <w:rFonts w:ascii="Arial Narrow" w:hAnsi="Arial Narrow"/>
          <w:i/>
          <w:sz w:val="32"/>
        </w:rPr>
      </w:pPr>
      <w:r w:rsidRPr="00BA08C9">
        <w:rPr>
          <w:rFonts w:ascii="Bookman Old Style" w:hAnsi="Bookman Old Style"/>
          <w:sz w:val="28"/>
          <w:szCs w:val="28"/>
        </w:rPr>
        <w:t xml:space="preserve">Este motivo de revisión, ha dicho la jurisprudencia de la Corte, requiere para su estructuración la existencia de una decisión judicial ejecutoriada, posterior a la sentencia objeto de revisión, donde se haya declarado que la decisión (la que se pide que sea revisada), fue obra de una conducta delictiva del juez o de un tercero. Y ha precisado lo siguiente: </w:t>
      </w:r>
    </w:p>
    <w:p w:rsidR="00911DD1" w:rsidRPr="00E37ED6" w:rsidRDefault="00911DD1" w:rsidP="00911DD1">
      <w:pPr>
        <w:spacing w:after="120"/>
        <w:ind w:left="709" w:firstLine="709"/>
        <w:jc w:val="both"/>
        <w:rPr>
          <w:rFonts w:ascii="Bookman Old Style" w:hAnsi="Bookman Old Style"/>
          <w:sz w:val="24"/>
          <w:szCs w:val="28"/>
        </w:rPr>
      </w:pPr>
      <w:r w:rsidRPr="00E37ED6">
        <w:rPr>
          <w:rFonts w:ascii="Bookman Old Style" w:hAnsi="Bookman Old Style"/>
          <w:sz w:val="24"/>
          <w:szCs w:val="28"/>
        </w:rPr>
        <w:lastRenderedPageBreak/>
        <w:t>“</w:t>
      </w:r>
      <w:r w:rsidRPr="00E37ED6">
        <w:rPr>
          <w:rFonts w:ascii="Bookman Old Style" w:hAnsi="Bookman Old Style"/>
          <w:i/>
          <w:sz w:val="24"/>
          <w:szCs w:val="28"/>
        </w:rPr>
        <w:t>La invocación de esta causal, presupone, por tanto, tener que aportar las copias de las decisiones judiciales proferidas con posterioridad a la sentencia cuya revisión se pide, donde haya sido declarado que el juez o el tercero cometieron una acción típica o delictiva, y demostrar que entre esa conducta ilícita y el sentido del fallo existe una relación de causa a efecto. Solo si se cumplen estos presupuestos es dable invocar esta causal. De lo contrario, no es posible hacerlo, pues solo frente a la certeza de la existencia de una decisión judicial donde se haya hecho una tal declaración, con efectos de cosa juzgada, se entiende estructurado su supuesto fáctico</w:t>
      </w:r>
      <w:r w:rsidRPr="00E37ED6">
        <w:rPr>
          <w:rFonts w:ascii="Bookman Old Style" w:hAnsi="Bookman Old Style"/>
          <w:sz w:val="24"/>
          <w:szCs w:val="28"/>
        </w:rPr>
        <w:t>”</w:t>
      </w:r>
      <w:r w:rsidRPr="00E37ED6">
        <w:rPr>
          <w:rStyle w:val="Refdenotaalpie"/>
          <w:rFonts w:ascii="Bookman Old Style" w:hAnsi="Bookman Old Style"/>
          <w:sz w:val="24"/>
          <w:szCs w:val="28"/>
        </w:rPr>
        <w:t xml:space="preserve"> </w:t>
      </w:r>
      <w:r w:rsidRPr="00E37ED6">
        <w:rPr>
          <w:rFonts w:ascii="Bookman Old Style" w:hAnsi="Bookman Old Style"/>
          <w:sz w:val="24"/>
          <w:szCs w:val="28"/>
        </w:rPr>
        <w:t xml:space="preserve">(CSJ, SP, auto del 6 de julio del 2005, radicación No. 23838, reiterado en decisión del 22 de octubre de 2014, rad. 44548).  </w:t>
      </w:r>
    </w:p>
    <w:p w:rsidR="00911DD1" w:rsidRPr="00E37ED6" w:rsidRDefault="00911DD1" w:rsidP="00911DD1">
      <w:pPr>
        <w:spacing w:after="120"/>
        <w:ind w:firstLine="709"/>
        <w:jc w:val="both"/>
        <w:rPr>
          <w:sz w:val="40"/>
        </w:rPr>
      </w:pPr>
    </w:p>
    <w:p w:rsidR="00911DD1" w:rsidRPr="00BA08C9" w:rsidRDefault="00911DD1" w:rsidP="00911DD1">
      <w:pPr>
        <w:spacing w:after="120" w:line="360" w:lineRule="auto"/>
        <w:ind w:firstLine="709"/>
        <w:jc w:val="both"/>
        <w:rPr>
          <w:rFonts w:ascii="Bookman Old Style" w:hAnsi="Bookman Old Style"/>
          <w:sz w:val="28"/>
          <w:szCs w:val="28"/>
        </w:rPr>
      </w:pPr>
      <w:r w:rsidRPr="00BA08C9">
        <w:rPr>
          <w:rFonts w:ascii="Bookman Old Style" w:hAnsi="Bookman Old Style"/>
          <w:sz w:val="28"/>
          <w:szCs w:val="28"/>
        </w:rPr>
        <w:t>Así las cosas, como el accionante no demuestra, conforme los lineamientos anotados, que la sentencia cuya revisión pretende hubiera sido el producto de la conducta delictiva del juez o de un tercero, la demanda resulta manifiestamente inidónea.</w:t>
      </w:r>
      <w:r>
        <w:rPr>
          <w:rFonts w:ascii="Bookman Old Style" w:hAnsi="Bookman Old Style"/>
          <w:sz w:val="28"/>
          <w:szCs w:val="28"/>
        </w:rPr>
        <w:t xml:space="preserve"> En lugar de cumplir la necesaria exigencia argumentativa se dedica a cuestionar la legalidad de la pena impuesta, asunto ajeno a la causal de revisión alegada, y que fue debidamente resuelto en el fallo. </w:t>
      </w:r>
    </w:p>
    <w:p w:rsidR="00911DD1" w:rsidRPr="00BA08C9" w:rsidRDefault="00911DD1" w:rsidP="00911DD1">
      <w:pPr>
        <w:spacing w:after="120" w:line="360" w:lineRule="auto"/>
        <w:ind w:firstLine="709"/>
        <w:jc w:val="both"/>
        <w:rPr>
          <w:rFonts w:ascii="Bookman Old Style" w:hAnsi="Bookman Old Style"/>
          <w:sz w:val="28"/>
          <w:szCs w:val="28"/>
        </w:rPr>
      </w:pPr>
    </w:p>
    <w:p w:rsidR="00911DD1" w:rsidRPr="00BA08C9" w:rsidRDefault="00911DD1" w:rsidP="00911DD1">
      <w:pPr>
        <w:spacing w:after="12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val="es-CO" w:eastAsia="es-ES"/>
        </w:rPr>
        <w:t xml:space="preserve">En </w:t>
      </w:r>
      <w:r w:rsidRPr="00BA08C9">
        <w:rPr>
          <w:rFonts w:ascii="Bookman Old Style" w:eastAsia="Times New Roman" w:hAnsi="Bookman Old Style" w:cs="Times New Roman"/>
          <w:b/>
          <w:sz w:val="28"/>
          <w:szCs w:val="28"/>
          <w:lang w:val="es-CO" w:eastAsia="es-ES"/>
        </w:rPr>
        <w:t>conclusión</w:t>
      </w:r>
      <w:r w:rsidRPr="00BA08C9">
        <w:rPr>
          <w:rFonts w:ascii="Bookman Old Style" w:eastAsia="Times New Roman" w:hAnsi="Bookman Old Style" w:cs="Times New Roman"/>
          <w:sz w:val="28"/>
          <w:szCs w:val="28"/>
          <w:lang w:val="es-CO" w:eastAsia="es-ES"/>
        </w:rPr>
        <w:t xml:space="preserve">, por incumplir la demanda de revisión los requisitos formales y materiales, y carecer de toda idoneidad para cumplir alguna de las finalidades de la revisión, será </w:t>
      </w:r>
      <w:r w:rsidRPr="00BA08C9">
        <w:rPr>
          <w:rFonts w:ascii="Bookman Old Style" w:eastAsia="Times New Roman" w:hAnsi="Bookman Old Style" w:cs="Times New Roman"/>
          <w:b/>
          <w:sz w:val="28"/>
          <w:szCs w:val="28"/>
          <w:lang w:val="es-CO" w:eastAsia="es-ES"/>
        </w:rPr>
        <w:t>inadmitida</w:t>
      </w:r>
      <w:r w:rsidRPr="00BA08C9">
        <w:rPr>
          <w:rFonts w:ascii="Bookman Old Style" w:eastAsia="Times New Roman" w:hAnsi="Bookman Old Style" w:cs="Times New Roman"/>
          <w:sz w:val="28"/>
          <w:szCs w:val="28"/>
          <w:lang w:val="es-CO" w:eastAsia="es-ES"/>
        </w:rPr>
        <w:t xml:space="preserve">.  </w:t>
      </w:r>
    </w:p>
    <w:p w:rsidR="00911DD1" w:rsidRDefault="00911DD1" w:rsidP="00911DD1">
      <w:pPr>
        <w:spacing w:before="120" w:after="0" w:line="360" w:lineRule="auto"/>
        <w:ind w:right="51" w:firstLine="709"/>
        <w:jc w:val="both"/>
        <w:rPr>
          <w:rFonts w:ascii="Bookman Old Style" w:eastAsia="Times New Roman" w:hAnsi="Bookman Old Style" w:cs="Times New Roman"/>
          <w:sz w:val="28"/>
          <w:szCs w:val="28"/>
          <w:lang w:eastAsia="es-ES"/>
        </w:rPr>
      </w:pPr>
    </w:p>
    <w:p w:rsidR="00911DD1" w:rsidRPr="00BA08C9" w:rsidRDefault="00911DD1" w:rsidP="00911DD1">
      <w:pPr>
        <w:spacing w:before="120" w:after="0" w:line="360" w:lineRule="auto"/>
        <w:ind w:right="51" w:firstLine="709"/>
        <w:jc w:val="both"/>
        <w:rPr>
          <w:rFonts w:ascii="Bookman Old Style" w:eastAsia="Times New Roman" w:hAnsi="Bookman Old Style" w:cs="Times New Roman"/>
          <w:sz w:val="28"/>
          <w:szCs w:val="28"/>
          <w:lang w:eastAsia="es-ES"/>
        </w:rPr>
      </w:pPr>
    </w:p>
    <w:p w:rsidR="00911DD1" w:rsidRPr="00BA08C9" w:rsidRDefault="00911DD1" w:rsidP="00911DD1">
      <w:pPr>
        <w:spacing w:before="120" w:after="0" w:line="360" w:lineRule="auto"/>
        <w:ind w:right="51"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 xml:space="preserve">En mérito de lo expuesto, la </w:t>
      </w:r>
      <w:r w:rsidRPr="00BA08C9">
        <w:rPr>
          <w:rFonts w:ascii="Bookman Old Style" w:eastAsia="Times New Roman" w:hAnsi="Bookman Old Style" w:cs="Times New Roman"/>
          <w:b/>
          <w:sz w:val="28"/>
          <w:szCs w:val="28"/>
          <w:lang w:eastAsia="es-ES"/>
        </w:rPr>
        <w:t>CORTE SUPREMA DE JUSTICIA</w:t>
      </w:r>
      <w:r w:rsidRPr="00BA08C9">
        <w:rPr>
          <w:rFonts w:ascii="Bookman Old Style" w:eastAsia="Times New Roman" w:hAnsi="Bookman Old Style" w:cs="Times New Roman"/>
          <w:sz w:val="28"/>
          <w:szCs w:val="28"/>
          <w:lang w:eastAsia="es-ES"/>
        </w:rPr>
        <w:t xml:space="preserve">, </w:t>
      </w:r>
      <w:r w:rsidRPr="00BA08C9">
        <w:rPr>
          <w:rFonts w:ascii="Bookman Old Style" w:eastAsia="Times New Roman" w:hAnsi="Bookman Old Style" w:cs="Times New Roman"/>
          <w:b/>
          <w:sz w:val="28"/>
          <w:szCs w:val="28"/>
          <w:lang w:eastAsia="es-ES"/>
        </w:rPr>
        <w:t>SALA DE CASACIÓN PENAL</w:t>
      </w:r>
      <w:r w:rsidRPr="00BA08C9">
        <w:rPr>
          <w:rFonts w:ascii="Bookman Old Style" w:eastAsia="Times New Roman" w:hAnsi="Bookman Old Style" w:cs="Times New Roman"/>
          <w:sz w:val="28"/>
          <w:szCs w:val="28"/>
          <w:lang w:eastAsia="es-ES"/>
        </w:rPr>
        <w:t>,</w:t>
      </w:r>
    </w:p>
    <w:p w:rsidR="00911DD1" w:rsidRDefault="00911DD1" w:rsidP="00911DD1">
      <w:pPr>
        <w:spacing w:before="120" w:after="0" w:line="360" w:lineRule="auto"/>
        <w:ind w:right="51" w:firstLine="709"/>
        <w:jc w:val="center"/>
        <w:rPr>
          <w:rFonts w:ascii="Bookman Old Style" w:eastAsia="Times New Roman" w:hAnsi="Bookman Old Style" w:cs="Times New Roman"/>
          <w:b/>
          <w:sz w:val="28"/>
          <w:szCs w:val="28"/>
          <w:lang w:eastAsia="es-ES"/>
        </w:rPr>
      </w:pPr>
    </w:p>
    <w:p w:rsidR="00911DD1" w:rsidRPr="00BA08C9" w:rsidRDefault="00911DD1" w:rsidP="00911DD1">
      <w:pPr>
        <w:spacing w:before="120" w:after="0" w:line="360" w:lineRule="auto"/>
        <w:ind w:right="51" w:firstLine="709"/>
        <w:jc w:val="center"/>
        <w:rPr>
          <w:rFonts w:ascii="Bookman Old Style" w:eastAsia="Times New Roman" w:hAnsi="Bookman Old Style" w:cs="Times New Roman"/>
          <w:b/>
          <w:sz w:val="28"/>
          <w:szCs w:val="28"/>
          <w:lang w:eastAsia="es-ES"/>
        </w:rPr>
      </w:pPr>
      <w:r w:rsidRPr="00BA08C9">
        <w:rPr>
          <w:rFonts w:ascii="Bookman Old Style" w:eastAsia="Times New Roman" w:hAnsi="Bookman Old Style" w:cs="Times New Roman"/>
          <w:b/>
          <w:sz w:val="28"/>
          <w:szCs w:val="28"/>
          <w:lang w:eastAsia="es-ES"/>
        </w:rPr>
        <w:lastRenderedPageBreak/>
        <w:t>V. R E S U E L V E</w:t>
      </w:r>
    </w:p>
    <w:p w:rsidR="00911DD1" w:rsidRPr="00E37ED6" w:rsidRDefault="00911DD1" w:rsidP="00911DD1">
      <w:pPr>
        <w:spacing w:before="120" w:after="0" w:line="360" w:lineRule="auto"/>
        <w:ind w:right="51" w:firstLine="709"/>
        <w:jc w:val="both"/>
        <w:rPr>
          <w:rFonts w:ascii="Bookman Old Style" w:eastAsia="Times New Roman" w:hAnsi="Bookman Old Style" w:cs="Times New Roman"/>
          <w:b/>
          <w:sz w:val="40"/>
          <w:szCs w:val="28"/>
          <w:lang w:eastAsia="es-ES"/>
        </w:rPr>
      </w:pPr>
    </w:p>
    <w:p w:rsidR="00911DD1" w:rsidRPr="00BA08C9" w:rsidRDefault="00911DD1" w:rsidP="00911DD1">
      <w:pPr>
        <w:spacing w:before="120" w:after="0" w:line="360" w:lineRule="auto"/>
        <w:ind w:right="51"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b/>
          <w:sz w:val="28"/>
          <w:szCs w:val="28"/>
          <w:lang w:eastAsia="es-ES"/>
        </w:rPr>
        <w:t xml:space="preserve">INADMITIR </w:t>
      </w:r>
      <w:r w:rsidRPr="00BA08C9">
        <w:rPr>
          <w:rFonts w:ascii="Bookman Old Style" w:eastAsia="Times New Roman" w:hAnsi="Bookman Old Style" w:cs="Times New Roman"/>
          <w:sz w:val="28"/>
          <w:szCs w:val="28"/>
          <w:lang w:eastAsia="es-ES"/>
        </w:rPr>
        <w:t xml:space="preserve">la demanda de revisión formulada contra la sentencia del 4 de septiembre de 2012, proferida por el Tribunal Superior de Riohacha, que condenó a </w:t>
      </w:r>
      <w:r w:rsidRPr="00BA08C9">
        <w:rPr>
          <w:rFonts w:ascii="Bookman Old Style" w:eastAsia="Times New Roman" w:hAnsi="Bookman Old Style" w:cs="Times New Roman"/>
          <w:b/>
          <w:sz w:val="28"/>
          <w:szCs w:val="28"/>
          <w:lang w:eastAsia="es-ES"/>
        </w:rPr>
        <w:t>Pedro Domingo Ríos Campuzano</w:t>
      </w:r>
      <w:r w:rsidRPr="00BA08C9">
        <w:rPr>
          <w:rFonts w:ascii="Bookman Old Style" w:eastAsia="Times New Roman" w:hAnsi="Bookman Old Style" w:cs="Times New Roman"/>
          <w:sz w:val="28"/>
          <w:szCs w:val="28"/>
          <w:lang w:eastAsia="es-ES"/>
        </w:rPr>
        <w:t>.</w:t>
      </w:r>
      <w:r w:rsidRPr="00BA08C9">
        <w:rPr>
          <w:rFonts w:ascii="Bookman Old Style" w:eastAsia="Times New Roman" w:hAnsi="Bookman Old Style" w:cs="Times New Roman"/>
          <w:b/>
          <w:sz w:val="28"/>
          <w:szCs w:val="28"/>
          <w:lang w:eastAsia="es-ES"/>
        </w:rPr>
        <w:t xml:space="preserve"> </w:t>
      </w:r>
    </w:p>
    <w:p w:rsidR="00911DD1" w:rsidRPr="00BA08C9" w:rsidRDefault="00911DD1" w:rsidP="00911DD1">
      <w:pPr>
        <w:spacing w:after="120" w:line="360" w:lineRule="auto"/>
        <w:ind w:firstLine="709"/>
        <w:jc w:val="both"/>
        <w:rPr>
          <w:rFonts w:ascii="Bookman Old Style" w:eastAsia="Times New Roman" w:hAnsi="Bookman Old Style" w:cs="Times New Roman"/>
          <w:spacing w:val="-3"/>
          <w:sz w:val="28"/>
          <w:szCs w:val="28"/>
          <w:lang w:eastAsia="es-ES"/>
        </w:rPr>
      </w:pPr>
    </w:p>
    <w:p w:rsidR="00911DD1" w:rsidRPr="00BA08C9" w:rsidRDefault="00911DD1" w:rsidP="00911DD1">
      <w:pPr>
        <w:spacing w:after="120" w:line="360" w:lineRule="auto"/>
        <w:ind w:firstLine="709"/>
        <w:jc w:val="both"/>
        <w:rPr>
          <w:rFonts w:ascii="Bookman Old Style" w:eastAsia="Times New Roman" w:hAnsi="Bookman Old Style" w:cs="Times New Roman"/>
          <w:sz w:val="28"/>
          <w:szCs w:val="28"/>
          <w:lang w:eastAsia="es-ES"/>
        </w:rPr>
      </w:pPr>
      <w:r w:rsidRPr="00BA08C9">
        <w:rPr>
          <w:rFonts w:ascii="Bookman Old Style" w:eastAsia="Times New Roman" w:hAnsi="Bookman Old Style" w:cs="Times New Roman"/>
          <w:sz w:val="28"/>
          <w:szCs w:val="28"/>
          <w:lang w:eastAsia="es-ES"/>
        </w:rPr>
        <w:t xml:space="preserve">Contra </w:t>
      </w:r>
      <w:r>
        <w:rPr>
          <w:rFonts w:ascii="Bookman Old Style" w:eastAsia="Times New Roman" w:hAnsi="Bookman Old Style" w:cs="Times New Roman"/>
          <w:sz w:val="28"/>
          <w:szCs w:val="28"/>
          <w:lang w:eastAsia="es-ES"/>
        </w:rPr>
        <w:t xml:space="preserve">la anterior </w:t>
      </w:r>
      <w:r w:rsidRPr="00BA08C9">
        <w:rPr>
          <w:rFonts w:ascii="Bookman Old Style" w:eastAsia="Times New Roman" w:hAnsi="Bookman Old Style" w:cs="Times New Roman"/>
          <w:sz w:val="28"/>
          <w:szCs w:val="28"/>
          <w:lang w:eastAsia="es-ES"/>
        </w:rPr>
        <w:t>decisión procede el recurso de reposición.</w:t>
      </w:r>
    </w:p>
    <w:p w:rsidR="00911DD1" w:rsidRPr="00BA08C9" w:rsidRDefault="00911DD1" w:rsidP="00911DD1">
      <w:pPr>
        <w:spacing w:after="0" w:line="360" w:lineRule="auto"/>
        <w:ind w:right="-880" w:firstLine="709"/>
        <w:jc w:val="both"/>
        <w:rPr>
          <w:rFonts w:ascii="Bookman Old Style" w:eastAsia="Times New Roman" w:hAnsi="Bookman Old Style" w:cs="Times New Roman"/>
          <w:spacing w:val="-3"/>
          <w:sz w:val="28"/>
          <w:szCs w:val="28"/>
          <w:lang w:eastAsia="es-ES"/>
        </w:rPr>
      </w:pPr>
    </w:p>
    <w:p w:rsidR="00911DD1" w:rsidRPr="00BA08C9" w:rsidRDefault="00911DD1" w:rsidP="00911DD1">
      <w:pPr>
        <w:spacing w:after="0" w:line="360" w:lineRule="auto"/>
        <w:ind w:right="-880" w:firstLine="709"/>
        <w:jc w:val="both"/>
        <w:rPr>
          <w:rFonts w:ascii="Bookman Old Style" w:eastAsia="Times New Roman" w:hAnsi="Bookman Old Style" w:cs="Tahoma"/>
          <w:sz w:val="28"/>
          <w:szCs w:val="28"/>
          <w:lang w:eastAsia="es-ES"/>
        </w:rPr>
      </w:pPr>
      <w:r w:rsidRPr="00BA08C9">
        <w:rPr>
          <w:rFonts w:ascii="Bookman Old Style" w:eastAsia="Times New Roman" w:hAnsi="Bookman Old Style" w:cs="Times New Roman"/>
          <w:spacing w:val="-3"/>
          <w:sz w:val="28"/>
          <w:szCs w:val="28"/>
          <w:lang w:eastAsia="es-ES"/>
        </w:rPr>
        <w:t>Cópiese, notifíquese, cúmplase y devuélvase al Tribunal de origen</w:t>
      </w:r>
    </w:p>
    <w:p w:rsidR="00911DD1" w:rsidRPr="00BA08C9" w:rsidRDefault="00911DD1" w:rsidP="00911DD1">
      <w:pPr>
        <w:spacing w:after="0" w:line="360" w:lineRule="auto"/>
        <w:ind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center"/>
        <w:rPr>
          <w:rFonts w:ascii="Bookman Old Style" w:eastAsia="Times New Roman" w:hAnsi="Bookman Old Style" w:cs="Arial"/>
          <w:b/>
          <w:sz w:val="28"/>
          <w:szCs w:val="28"/>
          <w:lang w:eastAsia="es-ES"/>
        </w:rPr>
      </w:pPr>
    </w:p>
    <w:p w:rsidR="00911DD1" w:rsidRPr="00BA08C9" w:rsidRDefault="00911DD1" w:rsidP="00911DD1">
      <w:pPr>
        <w:spacing w:before="120" w:after="120" w:line="360" w:lineRule="auto"/>
        <w:ind w:right="51" w:firstLine="709"/>
        <w:jc w:val="both"/>
        <w:rPr>
          <w:rFonts w:ascii="Bookman Old Style" w:eastAsia="Times New Roman" w:hAnsi="Bookman Old Style" w:cs="Times New Roman"/>
          <w:sz w:val="28"/>
          <w:szCs w:val="28"/>
          <w:lang w:eastAsia="es-ES"/>
        </w:rPr>
      </w:pPr>
    </w:p>
    <w:p w:rsidR="00911DD1" w:rsidRPr="00BA08C9" w:rsidRDefault="00911DD1" w:rsidP="00911DD1">
      <w:pPr>
        <w:spacing w:after="0" w:line="360" w:lineRule="auto"/>
        <w:ind w:firstLine="709"/>
        <w:jc w:val="center"/>
        <w:rPr>
          <w:rFonts w:ascii="Bookman Old Style" w:eastAsia="Times New Roman" w:hAnsi="Bookman Old Style" w:cs="Arial"/>
          <w:b/>
          <w:sz w:val="28"/>
          <w:szCs w:val="28"/>
          <w:lang w:eastAsia="es-ES"/>
        </w:rPr>
      </w:pPr>
    </w:p>
    <w:p w:rsidR="00911DD1" w:rsidRPr="00BA08C9" w:rsidRDefault="00911DD1" w:rsidP="00911DD1">
      <w:pPr>
        <w:spacing w:after="0" w:line="240" w:lineRule="auto"/>
        <w:ind w:right="23"/>
        <w:jc w:val="center"/>
        <w:rPr>
          <w:rFonts w:ascii="Bookman Old Style" w:eastAsia="Times New Roman" w:hAnsi="Bookman Old Style" w:cs="Tahoma"/>
          <w:b/>
          <w:sz w:val="26"/>
          <w:szCs w:val="26"/>
          <w:lang w:eastAsia="es-ES"/>
        </w:rPr>
      </w:pPr>
      <w:r w:rsidRPr="00BA08C9">
        <w:rPr>
          <w:rFonts w:ascii="Bookman Old Style" w:eastAsia="Times New Roman" w:hAnsi="Bookman Old Style" w:cs="Tahoma"/>
          <w:b/>
          <w:sz w:val="26"/>
          <w:szCs w:val="26"/>
          <w:lang w:eastAsia="es-ES"/>
        </w:rPr>
        <w:t>JOSÉ LUIS BARCELÓ CAMACHO</w:t>
      </w:r>
    </w:p>
    <w:p w:rsidR="00911DD1" w:rsidRPr="00E37ED6" w:rsidRDefault="00911DD1" w:rsidP="00911DD1">
      <w:pPr>
        <w:spacing w:after="0" w:line="240" w:lineRule="auto"/>
        <w:ind w:right="23"/>
        <w:jc w:val="center"/>
        <w:rPr>
          <w:rFonts w:ascii="Bookman Old Style" w:eastAsia="Times New Roman" w:hAnsi="Bookman Old Style" w:cs="Tahoma"/>
          <w:sz w:val="26"/>
          <w:szCs w:val="26"/>
          <w:lang w:eastAsia="es-ES"/>
        </w:rPr>
      </w:pPr>
      <w:r w:rsidRPr="00E37ED6">
        <w:rPr>
          <w:rFonts w:ascii="Bookman Old Style" w:eastAsia="Times New Roman" w:hAnsi="Bookman Old Style" w:cs="Tahoma"/>
          <w:sz w:val="26"/>
          <w:szCs w:val="26"/>
          <w:lang w:eastAsia="es-ES"/>
        </w:rPr>
        <w:t>Presidente</w:t>
      </w: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Default="00911DD1" w:rsidP="00911DD1">
      <w:pPr>
        <w:spacing w:after="0" w:line="360" w:lineRule="auto"/>
        <w:ind w:right="20"/>
        <w:jc w:val="center"/>
        <w:rPr>
          <w:rFonts w:ascii="Bookman Old Style" w:eastAsia="Times New Roman" w:hAnsi="Bookman Old Style" w:cs="Tahoma"/>
          <w:b/>
          <w:sz w:val="26"/>
          <w:szCs w:val="26"/>
          <w:lang w:eastAsia="es-ES"/>
        </w:rPr>
      </w:pP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r w:rsidRPr="00BA08C9">
        <w:rPr>
          <w:rFonts w:ascii="Bookman Old Style" w:eastAsia="Times New Roman" w:hAnsi="Bookman Old Style" w:cs="Tahoma"/>
          <w:b/>
          <w:sz w:val="26"/>
          <w:szCs w:val="26"/>
          <w:lang w:eastAsia="es-ES"/>
        </w:rPr>
        <w:t>JOSÉ LEONIDAS BUSTOS MARTÍNEZ</w:t>
      </w:r>
    </w:p>
    <w:p w:rsidR="00911DD1" w:rsidRPr="00BA08C9" w:rsidRDefault="00911DD1" w:rsidP="00911DD1">
      <w:pPr>
        <w:spacing w:after="0" w:line="240" w:lineRule="auto"/>
        <w:ind w:right="20"/>
        <w:jc w:val="center"/>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E37ED6" w:rsidRDefault="00911DD1" w:rsidP="00911DD1">
      <w:pPr>
        <w:spacing w:after="0" w:line="240" w:lineRule="auto"/>
        <w:ind w:right="20"/>
        <w:rPr>
          <w:rFonts w:ascii="Bookman Old Style" w:eastAsia="Times New Roman" w:hAnsi="Bookman Old Style" w:cs="Tahoma"/>
          <w:b/>
          <w:sz w:val="32"/>
          <w:szCs w:val="26"/>
          <w:lang w:eastAsia="es-ES"/>
        </w:rPr>
      </w:pPr>
    </w:p>
    <w:p w:rsidR="00911DD1" w:rsidRPr="00BA08C9" w:rsidRDefault="00911DD1" w:rsidP="00911DD1">
      <w:pPr>
        <w:spacing w:after="0" w:line="240" w:lineRule="auto"/>
        <w:ind w:right="20"/>
        <w:jc w:val="center"/>
        <w:rPr>
          <w:rFonts w:ascii="Bookman Old Style" w:eastAsia="Times New Roman" w:hAnsi="Bookman Old Style" w:cs="Tahoma"/>
          <w:b/>
          <w:sz w:val="26"/>
          <w:szCs w:val="26"/>
          <w:lang w:eastAsia="es-ES"/>
        </w:rPr>
      </w:pPr>
      <w:r w:rsidRPr="00BA08C9">
        <w:rPr>
          <w:rFonts w:ascii="Bookman Old Style" w:eastAsia="Times New Roman" w:hAnsi="Bookman Old Style" w:cs="Tahoma"/>
          <w:b/>
          <w:sz w:val="26"/>
          <w:szCs w:val="26"/>
          <w:lang w:eastAsia="es-ES"/>
        </w:rPr>
        <w:t>FERNANDO ALBERTO CASTRO CABALLERO</w:t>
      </w: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p>
    <w:p w:rsidR="00911DD1" w:rsidRDefault="00911DD1" w:rsidP="00911DD1">
      <w:pPr>
        <w:spacing w:after="0" w:line="360" w:lineRule="auto"/>
        <w:ind w:right="20"/>
        <w:jc w:val="center"/>
        <w:rPr>
          <w:rFonts w:ascii="Bookman Old Style" w:eastAsia="Times New Roman" w:hAnsi="Bookman Old Style" w:cs="Tahoma"/>
          <w:b/>
          <w:sz w:val="26"/>
          <w:szCs w:val="26"/>
          <w:lang w:eastAsia="es-ES"/>
        </w:rPr>
      </w:pPr>
    </w:p>
    <w:p w:rsidR="00911DD1" w:rsidRDefault="00911DD1" w:rsidP="00911DD1">
      <w:pPr>
        <w:spacing w:after="0" w:line="360" w:lineRule="auto"/>
        <w:ind w:right="20"/>
        <w:jc w:val="center"/>
        <w:rPr>
          <w:rFonts w:ascii="Bookman Old Style" w:eastAsia="Times New Roman" w:hAnsi="Bookman Old Style" w:cs="Tahoma"/>
          <w:b/>
          <w:sz w:val="26"/>
          <w:szCs w:val="26"/>
          <w:lang w:eastAsia="es-ES"/>
        </w:rPr>
      </w:pP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r w:rsidRPr="00BA08C9">
        <w:rPr>
          <w:rFonts w:ascii="Bookman Old Style" w:eastAsia="Times New Roman" w:hAnsi="Bookman Old Style" w:cs="Tahoma"/>
          <w:b/>
          <w:sz w:val="26"/>
          <w:szCs w:val="26"/>
          <w:lang w:eastAsia="es-ES"/>
        </w:rPr>
        <w:t>EUGENIO FERNÁNDEZ CARLIER</w:t>
      </w: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Default="00911DD1" w:rsidP="00911DD1">
      <w:pPr>
        <w:spacing w:after="0" w:line="360" w:lineRule="auto"/>
        <w:ind w:right="20"/>
        <w:jc w:val="center"/>
        <w:rPr>
          <w:rFonts w:ascii="Bookman Old Style" w:eastAsia="Times New Roman" w:hAnsi="Bookman Old Style" w:cs="Tahoma"/>
          <w:b/>
          <w:sz w:val="26"/>
          <w:szCs w:val="26"/>
          <w:lang w:eastAsia="es-ES"/>
        </w:rPr>
      </w:pP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r w:rsidRPr="00BA08C9">
        <w:rPr>
          <w:rFonts w:ascii="Bookman Old Style" w:eastAsia="Times New Roman" w:hAnsi="Bookman Old Style" w:cs="Tahoma"/>
          <w:b/>
          <w:sz w:val="26"/>
          <w:szCs w:val="26"/>
          <w:lang w:eastAsia="es-ES"/>
        </w:rPr>
        <w:t>GUSTAVO ENRIQUE MALO FERNÁNDEZ</w:t>
      </w: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r w:rsidRPr="00BA08C9">
        <w:rPr>
          <w:rFonts w:ascii="Bookman Old Style" w:eastAsia="Times New Roman" w:hAnsi="Bookman Old Style" w:cs="Tahoma"/>
          <w:b/>
          <w:sz w:val="26"/>
          <w:szCs w:val="26"/>
          <w:lang w:eastAsia="es-ES"/>
        </w:rPr>
        <w:t>EYDER PATIÑO CABRERA</w:t>
      </w: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Default="00911DD1" w:rsidP="00911DD1">
      <w:pPr>
        <w:spacing w:after="0" w:line="240" w:lineRule="auto"/>
        <w:ind w:right="20"/>
        <w:rPr>
          <w:rFonts w:ascii="Bookman Old Style" w:eastAsia="Times New Roman" w:hAnsi="Bookman Old Style" w:cs="Tahoma"/>
          <w:b/>
          <w:sz w:val="26"/>
          <w:szCs w:val="26"/>
          <w:lang w:eastAsia="es-ES"/>
        </w:rPr>
      </w:pPr>
    </w:p>
    <w:p w:rsidR="00911DD1"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r w:rsidRPr="00BA08C9">
        <w:rPr>
          <w:rFonts w:ascii="Bookman Old Style" w:eastAsia="Times New Roman" w:hAnsi="Bookman Old Style" w:cs="Tahoma"/>
          <w:b/>
          <w:sz w:val="26"/>
          <w:szCs w:val="26"/>
          <w:lang w:eastAsia="es-ES"/>
        </w:rPr>
        <w:t>PATRICIA SALAZAR CUÉLLAR</w:t>
      </w: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p>
    <w:p w:rsidR="00911DD1" w:rsidRDefault="00911DD1" w:rsidP="00911DD1">
      <w:pPr>
        <w:spacing w:after="0" w:line="360" w:lineRule="auto"/>
        <w:ind w:right="20"/>
        <w:jc w:val="center"/>
        <w:rPr>
          <w:rFonts w:ascii="Bookman Old Style" w:eastAsia="Times New Roman" w:hAnsi="Bookman Old Style" w:cs="Tahoma"/>
          <w:b/>
          <w:sz w:val="26"/>
          <w:szCs w:val="26"/>
          <w:lang w:eastAsia="es-ES"/>
        </w:rPr>
      </w:pP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p>
    <w:p w:rsidR="00911DD1" w:rsidRPr="00BA08C9" w:rsidRDefault="00911DD1" w:rsidP="00911DD1">
      <w:pPr>
        <w:spacing w:after="0" w:line="360" w:lineRule="auto"/>
        <w:ind w:right="20"/>
        <w:jc w:val="center"/>
        <w:rPr>
          <w:rFonts w:ascii="Bookman Old Style" w:eastAsia="Times New Roman" w:hAnsi="Bookman Old Style" w:cs="Tahoma"/>
          <w:b/>
          <w:sz w:val="26"/>
          <w:szCs w:val="26"/>
          <w:lang w:eastAsia="es-ES"/>
        </w:rPr>
      </w:pPr>
      <w:r w:rsidRPr="00BA08C9">
        <w:rPr>
          <w:rFonts w:ascii="Bookman Old Style" w:eastAsia="Times New Roman" w:hAnsi="Bookman Old Style" w:cs="Tahoma"/>
          <w:b/>
          <w:sz w:val="26"/>
          <w:szCs w:val="26"/>
          <w:lang w:eastAsia="es-ES"/>
        </w:rPr>
        <w:t>LUIS GUILLERMO SALAZAR OTERO</w:t>
      </w: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rPr>
          <w:rFonts w:ascii="Bookman Old Style" w:eastAsia="Times New Roman" w:hAnsi="Bookman Old Style" w:cs="Tahoma"/>
          <w:b/>
          <w:sz w:val="26"/>
          <w:szCs w:val="26"/>
          <w:lang w:eastAsia="es-ES"/>
        </w:rPr>
      </w:pPr>
    </w:p>
    <w:p w:rsidR="00911DD1" w:rsidRPr="00BA08C9" w:rsidRDefault="00911DD1" w:rsidP="00911DD1">
      <w:pPr>
        <w:spacing w:after="0" w:line="240" w:lineRule="auto"/>
        <w:ind w:right="20"/>
        <w:jc w:val="center"/>
        <w:rPr>
          <w:rFonts w:ascii="Bookman Old Style" w:eastAsia="Times New Roman" w:hAnsi="Bookman Old Style" w:cs="Tahoma"/>
          <w:sz w:val="26"/>
          <w:szCs w:val="26"/>
          <w:lang w:eastAsia="es-ES"/>
        </w:rPr>
      </w:pPr>
      <w:r w:rsidRPr="00BA08C9">
        <w:rPr>
          <w:rFonts w:ascii="Bookman Old Style" w:eastAsia="Times New Roman" w:hAnsi="Bookman Old Style" w:cs="Tahoma"/>
          <w:b/>
          <w:sz w:val="26"/>
          <w:szCs w:val="26"/>
          <w:lang w:eastAsia="es-ES"/>
        </w:rPr>
        <w:t>NUBIA YOLANDA NOVA GARCÍA</w:t>
      </w:r>
    </w:p>
    <w:p w:rsidR="00911DD1" w:rsidRPr="00BA08C9" w:rsidRDefault="00911DD1" w:rsidP="00911DD1">
      <w:pPr>
        <w:spacing w:after="0" w:line="240" w:lineRule="auto"/>
        <w:jc w:val="center"/>
        <w:rPr>
          <w:rFonts w:ascii="Bookman Old Style" w:eastAsia="Times New Roman" w:hAnsi="Bookman Old Style" w:cs="Times New Roman"/>
          <w:b/>
          <w:sz w:val="26"/>
          <w:szCs w:val="26"/>
          <w:lang w:eastAsia="es-ES"/>
        </w:rPr>
      </w:pPr>
      <w:r w:rsidRPr="00BA08C9">
        <w:rPr>
          <w:rFonts w:ascii="Bookman Old Style" w:eastAsia="Times New Roman" w:hAnsi="Bookman Old Style" w:cs="Times New Roman"/>
          <w:sz w:val="26"/>
          <w:szCs w:val="26"/>
          <w:lang w:eastAsia="es-ES"/>
        </w:rPr>
        <w:t>Secretaria</w:t>
      </w:r>
    </w:p>
    <w:p w:rsidR="00994AAE" w:rsidRPr="00911DD1" w:rsidRDefault="00994AAE">
      <w:pPr>
        <w:rPr>
          <w:rFonts w:ascii="Bookman Old Style" w:hAnsi="Bookman Old Style"/>
          <w:b/>
          <w:sz w:val="26"/>
          <w:szCs w:val="26"/>
        </w:rPr>
      </w:pPr>
    </w:p>
    <w:sectPr w:rsidR="00994AAE" w:rsidRPr="00911DD1" w:rsidSect="00DF7FFC">
      <w:headerReference w:type="default" r:id="rId5"/>
      <w:footerReference w:type="even" r:id="rId6"/>
      <w:footerReference w:type="default" r:id="rId7"/>
      <w:headerReference w:type="first" r:id="rId8"/>
      <w:footerReference w:type="first" r:id="rId9"/>
      <w:pgSz w:w="12242" w:h="18722" w:code="14"/>
      <w:pgMar w:top="2268" w:right="1701" w:bottom="1701" w:left="2268" w:header="1134" w:footer="851"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A3" w:rsidRDefault="00911DD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B1AA3" w:rsidRDefault="00911DD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A3" w:rsidRPr="006A52EB" w:rsidRDefault="00911DD1" w:rsidP="00DF7FFC">
    <w:pPr>
      <w:pStyle w:val="Piedepgina"/>
      <w:jc w:val="right"/>
    </w:pPr>
    <w:r>
      <w:fldChar w:fldCharType="begin"/>
    </w:r>
    <w:r>
      <w:instrText>PAGE   \* MERGEFORMAT</w:instrText>
    </w:r>
    <w:r>
      <w:fldChar w:fldCharType="separate"/>
    </w:r>
    <w:r w:rsidRPr="00911DD1">
      <w:rPr>
        <w:noProof/>
        <w:lang w:val="es-ES"/>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A3" w:rsidRDefault="00911DD1" w:rsidP="00DF7FFC">
    <w:pPr>
      <w:pStyle w:val="Piedepgina"/>
      <w:jc w:val="right"/>
    </w:pPr>
    <w:r>
      <w:fldChar w:fldCharType="begin"/>
    </w:r>
    <w:r>
      <w:instrText>PAGE   \* MERGEFORMAT</w:instrText>
    </w:r>
    <w:r>
      <w:fldChar w:fldCharType="separate"/>
    </w:r>
    <w:r w:rsidRPr="00911DD1">
      <w:rPr>
        <w:noProof/>
        <w:lang w:val="es-ES"/>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A3" w:rsidRPr="00D36C94" w:rsidRDefault="00911DD1" w:rsidP="00DF7FFC">
    <w:pPr>
      <w:pStyle w:val="Encabezado"/>
      <w:jc w:val="right"/>
      <w:rPr>
        <w:rFonts w:ascii="Bookman Old Style" w:hAnsi="Bookman Old Style"/>
        <w:iCs/>
      </w:rPr>
    </w:pPr>
    <w:r>
      <w:rPr>
        <w:rFonts w:ascii="Bookman Old Style" w:hAnsi="Bookman Old Style"/>
        <w:iCs/>
      </w:rPr>
      <w:t>Revisión 4</w:t>
    </w:r>
    <w:r>
      <w:rPr>
        <w:rFonts w:ascii="Bookman Old Style" w:hAnsi="Bookman Old Style"/>
        <w:iCs/>
      </w:rPr>
      <w:t>6657</w:t>
    </w:r>
  </w:p>
  <w:p w:rsidR="00FB1AA3" w:rsidRPr="00D36C94" w:rsidRDefault="00911DD1" w:rsidP="00DF7FFC">
    <w:pPr>
      <w:pStyle w:val="Encabezado"/>
      <w:jc w:val="right"/>
      <w:rPr>
        <w:rFonts w:ascii="Bookman Old Style" w:hAnsi="Bookman Old Style"/>
        <w:bCs/>
        <w:iCs/>
      </w:rPr>
    </w:pPr>
    <w:r>
      <w:rPr>
        <w:rFonts w:ascii="Bookman Old Style" w:hAnsi="Bookman Old Style"/>
        <w:bCs/>
        <w:iCs/>
      </w:rPr>
      <w:t>Pedro Domingo Ríos Campuzano</w:t>
    </w:r>
  </w:p>
  <w:p w:rsidR="00FB1AA3" w:rsidRPr="00D109C3" w:rsidRDefault="00911DD1" w:rsidP="00DF7FFC">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A3" w:rsidRPr="00663CD2" w:rsidRDefault="00911DD1" w:rsidP="00DF7FFC">
    <w:pPr>
      <w:keepNext/>
      <w:tabs>
        <w:tab w:val="left" w:pos="3544"/>
      </w:tabs>
      <w:ind w:right="51"/>
      <w:jc w:val="center"/>
      <w:outlineLvl w:val="0"/>
      <w:rPr>
        <w:rFonts w:ascii="Edwardian Script ITC" w:hAnsi="Edwardian Script ITC"/>
        <w:sz w:val="28"/>
        <w:szCs w:val="28"/>
      </w:rPr>
    </w:pPr>
    <w:r w:rsidRPr="00663CD2">
      <w:rPr>
        <w:rFonts w:ascii="Edwardian Script ITC" w:hAnsi="Edwardian Script ITC"/>
        <w:sz w:val="28"/>
        <w:szCs w:val="28"/>
      </w:rPr>
      <w:t>República  de Colombia</w:t>
    </w:r>
  </w:p>
  <w:p w:rsidR="00FB1AA3" w:rsidRPr="00A031FB" w:rsidRDefault="00911DD1" w:rsidP="00DF7FFC">
    <w:pPr>
      <w:tabs>
        <w:tab w:val="left" w:pos="3544"/>
        <w:tab w:val="left" w:pos="4305"/>
        <w:tab w:val="center" w:pos="4465"/>
      </w:tabs>
      <w:spacing w:line="360" w:lineRule="auto"/>
      <w:ind w:right="51"/>
      <w:rPr>
        <w:rFonts w:ascii="Edwardian Script ITC" w:hAnsi="Edwardian Script ITC"/>
        <w:b/>
        <w:color w:val="FF0000"/>
        <w:spacing w:val="-3"/>
        <w:sz w:val="28"/>
        <w:szCs w:val="28"/>
      </w:rPr>
    </w:pPr>
    <w:r w:rsidRPr="00A031FB">
      <w:rPr>
        <w:noProof/>
        <w:color w:val="FF0000"/>
        <w:sz w:val="28"/>
        <w:szCs w:val="28"/>
        <w:lang w:val="es-CO" w:eastAsia="es-CO"/>
      </w:rPr>
      <w:drawing>
        <wp:anchor distT="0" distB="0" distL="114300" distR="114300" simplePos="0" relativeHeight="251659264" behindDoc="0" locked="0" layoutInCell="1" allowOverlap="1" wp14:anchorId="7B119797" wp14:editId="6CF18100">
          <wp:simplePos x="0" y="0"/>
          <wp:positionH relativeFrom="column">
            <wp:posOffset>2324735</wp:posOffset>
          </wp:positionH>
          <wp:positionV relativeFrom="paragraph">
            <wp:posOffset>80010</wp:posOffset>
          </wp:positionV>
          <wp:extent cx="648335" cy="659130"/>
          <wp:effectExtent l="0" t="0" r="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46" t="-3683" r="-246" b="-3770"/>
                  <a:stretch>
                    <a:fillRect/>
                  </a:stretch>
                </pic:blipFill>
                <pic:spPr bwMode="auto">
                  <a:xfrm>
                    <a:off x="0" y="0"/>
                    <a:ext cx="648335" cy="659130"/>
                  </a:xfrm>
                  <a:prstGeom prst="rect">
                    <a:avLst/>
                  </a:prstGeom>
                  <a:noFill/>
                </pic:spPr>
              </pic:pic>
            </a:graphicData>
          </a:graphic>
          <wp14:sizeRelH relativeFrom="page">
            <wp14:pctWidth>0</wp14:pctWidth>
          </wp14:sizeRelH>
          <wp14:sizeRelV relativeFrom="page">
            <wp14:pctHeight>0</wp14:pctHeight>
          </wp14:sizeRelV>
        </wp:anchor>
      </w:drawing>
    </w:r>
  </w:p>
  <w:p w:rsidR="00FB1AA3" w:rsidRPr="00A031FB" w:rsidRDefault="00911DD1" w:rsidP="00DF7FFC">
    <w:pPr>
      <w:tabs>
        <w:tab w:val="left" w:pos="3544"/>
      </w:tabs>
      <w:spacing w:line="360" w:lineRule="auto"/>
      <w:ind w:right="51"/>
      <w:rPr>
        <w:b/>
        <w:color w:val="FF0000"/>
        <w:spacing w:val="-3"/>
      </w:rPr>
    </w:pPr>
  </w:p>
  <w:p w:rsidR="00FB1AA3" w:rsidRPr="00A031FB" w:rsidRDefault="00911DD1" w:rsidP="00DF7FFC">
    <w:pPr>
      <w:tabs>
        <w:tab w:val="left" w:pos="3544"/>
      </w:tabs>
      <w:spacing w:line="360" w:lineRule="auto"/>
      <w:ind w:right="51"/>
      <w:rPr>
        <w:b/>
        <w:spacing w:val="-3"/>
      </w:rPr>
    </w:pPr>
  </w:p>
  <w:p w:rsidR="00FB1AA3" w:rsidRDefault="00911DD1" w:rsidP="00DF7FFC">
    <w:pPr>
      <w:keepNext/>
      <w:tabs>
        <w:tab w:val="left" w:pos="3544"/>
      </w:tabs>
      <w:spacing w:before="240" w:after="60"/>
      <w:ind w:right="51"/>
      <w:jc w:val="center"/>
      <w:outlineLvl w:val="1"/>
      <w:rPr>
        <w:rFonts w:ascii="Edwardian Script ITC" w:hAnsi="Edwardian Script ITC"/>
        <w:bCs/>
        <w:i/>
        <w:iCs/>
        <w:sz w:val="28"/>
        <w:szCs w:val="28"/>
      </w:rPr>
    </w:pPr>
    <w:r w:rsidRPr="00663CD2">
      <w:rPr>
        <w:rFonts w:ascii="Edwardian Script ITC" w:hAnsi="Edwardian Script ITC"/>
        <w:bCs/>
        <w:i/>
        <w:iCs/>
        <w:sz w:val="28"/>
        <w:szCs w:val="28"/>
      </w:rPr>
      <w:t>Corte Suprema de Justicia</w:t>
    </w:r>
  </w:p>
  <w:p w:rsidR="00FB1AA3" w:rsidRPr="00663CD2" w:rsidRDefault="00911DD1" w:rsidP="00DF7FFC">
    <w:pPr>
      <w:keepNext/>
      <w:tabs>
        <w:tab w:val="left" w:pos="3544"/>
      </w:tabs>
      <w:spacing w:before="240" w:after="60"/>
      <w:ind w:right="51"/>
      <w:jc w:val="center"/>
      <w:outlineLvl w:val="1"/>
      <w:rPr>
        <w:rFonts w:ascii="Edwardian Script ITC" w:hAnsi="Edwardian Script ITC"/>
        <w:bCs/>
        <w:i/>
        <w:iCs/>
        <w:sz w:val="28"/>
        <w:szCs w:val="28"/>
      </w:rPr>
    </w:pPr>
  </w:p>
  <w:p w:rsidR="00FB1AA3" w:rsidRPr="00493C39" w:rsidRDefault="00911DD1" w:rsidP="00DF7FFC">
    <w:pPr>
      <w:pStyle w:val="Encabezado"/>
      <w:rPr>
        <w:b/>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DD1"/>
    <w:rsid w:val="00911DD1"/>
    <w:rsid w:val="00994A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DD1"/>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11DD1"/>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911DD1"/>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911DD1"/>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911DD1"/>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911DD1"/>
  </w:style>
  <w:style w:type="character" w:styleId="Refdenotaalpie">
    <w:name w:val="footnote reference"/>
    <w:basedOn w:val="Fuentedeprrafopredeter"/>
    <w:semiHidden/>
    <w:rsid w:val="00911D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DD1"/>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11DD1"/>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911DD1"/>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911DD1"/>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911DD1"/>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911DD1"/>
  </w:style>
  <w:style w:type="character" w:styleId="Refdenotaalpie">
    <w:name w:val="footnote reference"/>
    <w:basedOn w:val="Fuentedeprrafopredeter"/>
    <w:semiHidden/>
    <w:rsid w:val="00911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1408</Words>
  <Characters>7746</Characters>
  <Application>Microsoft Office Word</Application>
  <DocSecurity>0</DocSecurity>
  <Lines>64</Lines>
  <Paragraphs>18</Paragraphs>
  <ScaleCrop>false</ScaleCrop>
  <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Marcela Ramirez Melo</dc:creator>
  <cp:lastModifiedBy>Diana Marcela Ramirez Melo</cp:lastModifiedBy>
  <cp:revision>1</cp:revision>
  <dcterms:created xsi:type="dcterms:W3CDTF">2015-09-15T19:22:00Z</dcterms:created>
  <dcterms:modified xsi:type="dcterms:W3CDTF">2015-09-15T19:23:00Z</dcterms:modified>
</cp:coreProperties>
</file>